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D5" w:rsidRDefault="005E5A51" w:rsidP="00003141">
      <w:pPr>
        <w:pStyle w:val="Heading2"/>
      </w:pPr>
      <w:r>
        <w:rPr>
          <w:sz w:val="48"/>
        </w:rPr>
        <w:t>HR</w:t>
      </w:r>
      <w:r w:rsidR="005F66B5">
        <w:rPr>
          <w:sz w:val="48"/>
        </w:rPr>
        <w:t xml:space="preserve"> </w:t>
      </w:r>
      <w:r w:rsidR="00605C62">
        <w:rPr>
          <w:sz w:val="48"/>
        </w:rPr>
        <w:t>Observation</w:t>
      </w:r>
      <w:r w:rsidR="000B4CB4">
        <w:rPr>
          <w:sz w:val="48"/>
        </w:rPr>
        <w:t xml:space="preserve">: </w:t>
      </w:r>
      <w:r w:rsidR="005B18D5">
        <w:rPr>
          <w:sz w:val="48"/>
        </w:rPr>
        <w:t xml:space="preserve"> </w:t>
      </w:r>
      <w:r w:rsidR="008E7E74">
        <w:rPr>
          <w:sz w:val="48"/>
        </w:rPr>
        <w:t>FY</w:t>
      </w:r>
      <w:r w:rsidR="00003141">
        <w:rPr>
          <w:sz w:val="48"/>
        </w:rPr>
        <w:br/>
      </w:r>
      <w:r w:rsidR="00605C62">
        <w:t>BA</w:t>
      </w:r>
      <w:r w:rsidR="009F0484">
        <w:t>:</w:t>
      </w:r>
      <w:r w:rsidR="00605C62">
        <w:t xml:space="preserve"> </w:t>
      </w:r>
      <w:r w:rsidR="002A4B38">
        <w:t xml:space="preserve"> </w:t>
      </w:r>
      <w:r>
        <w:tab/>
      </w:r>
      <w:r>
        <w:tab/>
      </w:r>
      <w:r w:rsidR="008A1A3F">
        <w:tab/>
      </w:r>
      <w:r w:rsidR="00605C62">
        <w:t xml:space="preserve"> </w:t>
      </w:r>
      <w:r w:rsidR="008A1A3F">
        <w:tab/>
        <w:t xml:space="preserve">Audit Period:  </w:t>
      </w:r>
      <w:r w:rsidR="00AB4B0A">
        <w:tab/>
      </w:r>
      <w:r w:rsidR="008E7E74">
        <w:t xml:space="preserve">FYTD </w:t>
      </w:r>
      <w:r w:rsidR="00AB4B0A">
        <w:tab/>
        <w:t>Co</w:t>
      </w:r>
      <w:r w:rsidR="008A1A3F">
        <w:t xml:space="preserve">mpleted By:  </w:t>
      </w:r>
      <w:r w:rsidR="00D20F4E">
        <w:tab/>
      </w:r>
      <w:r w:rsidR="00D20F4E">
        <w:tab/>
      </w:r>
      <w:r w:rsidR="00D20F4E">
        <w:tab/>
      </w:r>
      <w:r w:rsidR="00D20F4E">
        <w:tab/>
      </w:r>
    </w:p>
    <w:p w:rsidR="00AB4B0A" w:rsidRPr="00AB4B0A" w:rsidRDefault="007A5DF2" w:rsidP="00AB4B0A">
      <w:r>
        <w:t>Human resource</w:t>
      </w:r>
      <w:r w:rsidR="00AB4B0A">
        <w:t xml:space="preserve"> audits are to be performed by a member of the Wharton </w:t>
      </w:r>
      <w:r w:rsidR="001F7751">
        <w:t xml:space="preserve">Human </w:t>
      </w:r>
      <w:r>
        <w:t>Resources</w:t>
      </w:r>
      <w:r w:rsidR="00AB4B0A">
        <w:t xml:space="preserve"> team, </w:t>
      </w:r>
      <w:r w:rsidR="001F7751">
        <w:t xml:space="preserve">to ensure compliance </w:t>
      </w:r>
      <w:r>
        <w:t>with</w:t>
      </w:r>
      <w:r w:rsidR="001F7751">
        <w:t xml:space="preserve"> Wharton and University policies or when</w:t>
      </w:r>
      <w:r w:rsidR="00AB4B0A">
        <w:t xml:space="preserve"> a suspected infraction has occurred within the unit.  The </w:t>
      </w:r>
      <w:r>
        <w:t>policies</w:t>
      </w:r>
      <w:r w:rsidR="00AB4B0A">
        <w:t xml:space="preserve"> listed below are intended for use as a </w:t>
      </w:r>
      <w:r>
        <w:t>general guide in ensuring the department’s practices follow Wharton and University policies</w:t>
      </w:r>
      <w:r w:rsidR="00AB4B0A">
        <w:t xml:space="preserve">.  Any exceptions or deviations identified during the audit </w:t>
      </w:r>
      <w:r>
        <w:t>will</w:t>
      </w:r>
      <w:r w:rsidR="00AB4B0A">
        <w:t xml:space="preserve"> be reporte</w:t>
      </w:r>
      <w:r w:rsidR="001F7751">
        <w:t xml:space="preserve">d </w:t>
      </w:r>
      <w:r>
        <w:t>through this document</w:t>
      </w:r>
      <w:r w:rsidR="00AB4B0A">
        <w:t>.</w:t>
      </w:r>
      <w:r>
        <w:t xml:space="preserve"> Following completion of the audit, you will receive an evaluation and rating. Your department head and the Sr. Director of Wharton Human Resources will receive a copy.</w:t>
      </w:r>
    </w:p>
    <w:p w:rsidR="005B18D5" w:rsidRDefault="008E33E5">
      <w:r>
        <w:t xml:space="preserve"> </w:t>
      </w:r>
    </w:p>
    <w:tbl>
      <w:tblPr>
        <w:tblW w:w="14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6758"/>
        <w:gridCol w:w="5121"/>
        <w:gridCol w:w="1418"/>
      </w:tblGrid>
      <w:tr w:rsidR="00750A43" w:rsidTr="001C4404">
        <w:trPr>
          <w:trHeight w:val="90"/>
        </w:trPr>
        <w:tc>
          <w:tcPr>
            <w:tcW w:w="770" w:type="dxa"/>
            <w:shd w:val="clear" w:color="auto" w:fill="CAE1FF"/>
          </w:tcPr>
          <w:p w:rsidR="00750A43" w:rsidRDefault="00750A43">
            <w:pPr>
              <w:spacing w:after="100" w:afterAutospacing="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58" w:type="dxa"/>
            <w:shd w:val="clear" w:color="auto" w:fill="CAE1FF"/>
          </w:tcPr>
          <w:p w:rsidR="00750A43" w:rsidRDefault="00750A43" w:rsidP="005E7C02">
            <w:pPr>
              <w:spacing w:after="100" w:afterAutospacing="1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Employment </w:t>
            </w:r>
          </w:p>
        </w:tc>
        <w:tc>
          <w:tcPr>
            <w:tcW w:w="5121" w:type="dxa"/>
            <w:shd w:val="clear" w:color="auto" w:fill="CAE1FF"/>
          </w:tcPr>
          <w:p w:rsidR="00750A43" w:rsidRDefault="00750A43">
            <w:pPr>
              <w:spacing w:after="100" w:afterAutospacing="1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Observations</w:t>
            </w:r>
          </w:p>
        </w:tc>
        <w:tc>
          <w:tcPr>
            <w:tcW w:w="1418" w:type="dxa"/>
            <w:shd w:val="clear" w:color="auto" w:fill="CAE1FF"/>
          </w:tcPr>
          <w:p w:rsidR="00750A43" w:rsidRDefault="00750A43" w:rsidP="00002BA0">
            <w:pPr>
              <w:spacing w:after="100" w:afterAutospacing="1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Completed by</w:t>
            </w:r>
          </w:p>
        </w:tc>
      </w:tr>
      <w:tr w:rsidR="00750A43" w:rsidTr="001C4404">
        <w:trPr>
          <w:trHeight w:val="1056"/>
        </w:trPr>
        <w:tc>
          <w:tcPr>
            <w:tcW w:w="770" w:type="dxa"/>
            <w:vMerge w:val="restart"/>
          </w:tcPr>
          <w:p w:rsidR="00A2525C" w:rsidRDefault="00A2525C" w:rsidP="00EB537C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58" w:type="dxa"/>
            <w:vMerge w:val="restart"/>
          </w:tcPr>
          <w:p w:rsidR="00A2525C" w:rsidRPr="001C4404" w:rsidRDefault="008D1F75" w:rsidP="001C4404">
            <w:pPr>
              <w:pStyle w:val="ListParagraph"/>
              <w:numPr>
                <w:ilvl w:val="0"/>
                <w:numId w:val="1"/>
              </w:numPr>
              <w:outlineLvl w:val="0"/>
              <w:rPr>
                <w:bCs/>
                <w:szCs w:val="20"/>
              </w:rPr>
            </w:pPr>
            <w:hyperlink r:id="rId11" w:history="1">
              <w:r w:rsidR="00A2525C" w:rsidRPr="001C4404">
                <w:rPr>
                  <w:rStyle w:val="Hyperlink"/>
                  <w:bCs/>
                  <w:szCs w:val="20"/>
                </w:rPr>
                <w:t>Employment Advertising</w:t>
              </w:r>
            </w:hyperlink>
            <w:r w:rsidR="00A2525C" w:rsidRPr="001C4404">
              <w:rPr>
                <w:bCs/>
                <w:szCs w:val="20"/>
              </w:rPr>
              <w:t>- Policy 102</w:t>
            </w:r>
          </w:p>
          <w:p w:rsidR="00A2525C" w:rsidRPr="001C4404" w:rsidRDefault="008D1F75" w:rsidP="001C4404">
            <w:pPr>
              <w:pStyle w:val="ListParagraph"/>
              <w:numPr>
                <w:ilvl w:val="0"/>
                <w:numId w:val="1"/>
              </w:numPr>
              <w:outlineLvl w:val="0"/>
              <w:rPr>
                <w:bCs/>
                <w:szCs w:val="20"/>
              </w:rPr>
            </w:pPr>
            <w:hyperlink r:id="rId12" w:history="1">
              <w:r w:rsidR="00A2525C" w:rsidRPr="001C4404">
                <w:rPr>
                  <w:rStyle w:val="Hyperlink"/>
                  <w:bCs/>
                  <w:szCs w:val="20"/>
                </w:rPr>
                <w:t>Posting of Position Openings</w:t>
              </w:r>
            </w:hyperlink>
            <w:r w:rsidR="00A2525C" w:rsidRPr="001C4404">
              <w:rPr>
                <w:bCs/>
                <w:szCs w:val="20"/>
              </w:rPr>
              <w:t>- Policy 104</w:t>
            </w:r>
          </w:p>
          <w:p w:rsidR="00A2525C" w:rsidRPr="001C4404" w:rsidRDefault="008D1F75" w:rsidP="001C4404">
            <w:pPr>
              <w:pStyle w:val="ListParagraph"/>
              <w:numPr>
                <w:ilvl w:val="0"/>
                <w:numId w:val="1"/>
              </w:numPr>
              <w:outlineLvl w:val="0"/>
              <w:rPr>
                <w:bCs/>
                <w:szCs w:val="20"/>
              </w:rPr>
            </w:pPr>
            <w:hyperlink r:id="rId13" w:history="1">
              <w:r w:rsidR="00A2525C" w:rsidRPr="001C4404">
                <w:rPr>
                  <w:rStyle w:val="Hyperlink"/>
                  <w:bCs/>
                  <w:szCs w:val="20"/>
                </w:rPr>
                <w:t>Staff Requisitioning, Recruitment, Selection, Reference Checks, Employment Offer, and Offer Letters</w:t>
              </w:r>
            </w:hyperlink>
            <w:r w:rsidR="00A2525C" w:rsidRPr="001C4404">
              <w:rPr>
                <w:bCs/>
                <w:szCs w:val="20"/>
              </w:rPr>
              <w:t>- Policy 101</w:t>
            </w:r>
          </w:p>
          <w:p w:rsidR="00A2525C" w:rsidRPr="001C4404" w:rsidRDefault="008D1F75" w:rsidP="001C4404">
            <w:pPr>
              <w:pStyle w:val="ListParagraph"/>
              <w:numPr>
                <w:ilvl w:val="0"/>
                <w:numId w:val="1"/>
              </w:numPr>
              <w:outlineLvl w:val="0"/>
              <w:rPr>
                <w:bCs/>
                <w:szCs w:val="20"/>
              </w:rPr>
            </w:pPr>
            <w:hyperlink r:id="rId14" w:history="1">
              <w:r w:rsidR="00A2525C" w:rsidRPr="001C4404">
                <w:rPr>
                  <w:rStyle w:val="Hyperlink"/>
                  <w:bCs/>
                  <w:szCs w:val="20"/>
                </w:rPr>
                <w:t>The Hiring Process</w:t>
              </w:r>
            </w:hyperlink>
          </w:p>
          <w:p w:rsidR="00750A43" w:rsidRPr="00127597" w:rsidRDefault="00750A43" w:rsidP="00A2525C">
            <w:pPr>
              <w:outlineLvl w:val="0"/>
              <w:rPr>
                <w:szCs w:val="18"/>
              </w:rPr>
            </w:pPr>
          </w:p>
        </w:tc>
        <w:tc>
          <w:tcPr>
            <w:tcW w:w="5121" w:type="dxa"/>
            <w:vMerge w:val="restart"/>
          </w:tcPr>
          <w:p w:rsidR="00750A43" w:rsidRPr="00DB3A96" w:rsidRDefault="00750A43" w:rsidP="00625074"/>
          <w:p w:rsidR="00750A43" w:rsidRDefault="00750A43" w:rsidP="00847D13"/>
          <w:p w:rsidR="00750A43" w:rsidRPr="0055367A" w:rsidRDefault="00750A43" w:rsidP="00847D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0A43" w:rsidRDefault="00750A43" w:rsidP="00002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0A43" w:rsidRPr="006B1495" w:rsidRDefault="00750A43" w:rsidP="00002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50A43" w:rsidTr="001C4404">
        <w:trPr>
          <w:trHeight w:val="593"/>
        </w:trPr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750A43" w:rsidRDefault="00750A43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58" w:type="dxa"/>
            <w:vMerge/>
            <w:tcBorders>
              <w:bottom w:val="single" w:sz="4" w:space="0" w:color="auto"/>
            </w:tcBorders>
          </w:tcPr>
          <w:p w:rsidR="00750A43" w:rsidRPr="00ED6C64" w:rsidRDefault="00750A43" w:rsidP="00D734B5">
            <w:pPr>
              <w:tabs>
                <w:tab w:val="num" w:pos="1501"/>
              </w:tabs>
              <w:spacing w:after="100" w:afterAutospacing="1"/>
              <w:ind w:left="7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121" w:type="dxa"/>
            <w:vMerge/>
            <w:tcBorders>
              <w:bottom w:val="single" w:sz="4" w:space="0" w:color="auto"/>
            </w:tcBorders>
          </w:tcPr>
          <w:p w:rsidR="00750A43" w:rsidRPr="0055367A" w:rsidRDefault="00750A43" w:rsidP="00847D13"/>
        </w:tc>
        <w:tc>
          <w:tcPr>
            <w:tcW w:w="1418" w:type="dxa"/>
            <w:tcBorders>
              <w:bottom w:val="single" w:sz="4" w:space="0" w:color="auto"/>
            </w:tcBorders>
          </w:tcPr>
          <w:p w:rsidR="00750A43" w:rsidRDefault="00750A43" w:rsidP="00002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0A43" w:rsidRDefault="00750A43" w:rsidP="00002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0A43" w:rsidRPr="006B1495" w:rsidRDefault="00750A43" w:rsidP="00002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B18D5" w:rsidRDefault="005B18D5"/>
    <w:p w:rsidR="008C7746" w:rsidRDefault="008C7746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6781"/>
        <w:gridCol w:w="5138"/>
        <w:gridCol w:w="1422"/>
      </w:tblGrid>
      <w:tr w:rsidR="008C7746" w:rsidTr="001C4404">
        <w:trPr>
          <w:trHeight w:val="22"/>
        </w:trPr>
        <w:tc>
          <w:tcPr>
            <w:tcW w:w="771" w:type="dxa"/>
            <w:shd w:val="clear" w:color="auto" w:fill="CAE1FF"/>
          </w:tcPr>
          <w:p w:rsidR="008C7746" w:rsidRDefault="008C7746" w:rsidP="00D044F0">
            <w:pPr>
              <w:spacing w:after="100" w:afterAutospacing="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81" w:type="dxa"/>
            <w:shd w:val="clear" w:color="auto" w:fill="CAE1FF"/>
          </w:tcPr>
          <w:p w:rsidR="008C7746" w:rsidRDefault="008C7746" w:rsidP="00D044F0">
            <w:pPr>
              <w:spacing w:after="100" w:afterAutospacing="1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Affirmative Action </w:t>
            </w:r>
          </w:p>
        </w:tc>
        <w:tc>
          <w:tcPr>
            <w:tcW w:w="5138" w:type="dxa"/>
            <w:shd w:val="clear" w:color="auto" w:fill="CAE1FF"/>
          </w:tcPr>
          <w:p w:rsidR="008C7746" w:rsidRDefault="008C7746" w:rsidP="00D044F0">
            <w:pPr>
              <w:spacing w:after="100" w:afterAutospacing="1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Observations</w:t>
            </w:r>
          </w:p>
        </w:tc>
        <w:tc>
          <w:tcPr>
            <w:tcW w:w="1422" w:type="dxa"/>
            <w:shd w:val="clear" w:color="auto" w:fill="CAE1FF"/>
          </w:tcPr>
          <w:p w:rsidR="008C7746" w:rsidRDefault="008C7746" w:rsidP="00D044F0">
            <w:pPr>
              <w:spacing w:after="100" w:afterAutospacing="1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Completed by</w:t>
            </w:r>
          </w:p>
        </w:tc>
      </w:tr>
      <w:tr w:rsidR="008C7746" w:rsidRPr="006B1495" w:rsidTr="001C4404">
        <w:trPr>
          <w:trHeight w:val="262"/>
        </w:trPr>
        <w:tc>
          <w:tcPr>
            <w:tcW w:w="771" w:type="dxa"/>
            <w:vMerge w:val="restart"/>
          </w:tcPr>
          <w:p w:rsidR="008C7746" w:rsidRPr="001C4404" w:rsidRDefault="008C7746" w:rsidP="001C4404">
            <w:pPr>
              <w:spacing w:after="100" w:after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</w:tc>
        <w:tc>
          <w:tcPr>
            <w:tcW w:w="6781" w:type="dxa"/>
            <w:vMerge w:val="restart"/>
          </w:tcPr>
          <w:p w:rsidR="00A2525C" w:rsidRPr="001C4404" w:rsidRDefault="008D1F75" w:rsidP="001C4404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szCs w:val="20"/>
              </w:rPr>
            </w:pPr>
            <w:hyperlink r:id="rId15" w:history="1">
              <w:r w:rsidR="00A2525C" w:rsidRPr="001C4404">
                <w:rPr>
                  <w:rStyle w:val="Hyperlink"/>
                  <w:bCs/>
                  <w:szCs w:val="20"/>
                </w:rPr>
                <w:t>Equal Opportunity and Affirmative Action</w:t>
              </w:r>
            </w:hyperlink>
            <w:r w:rsidR="00A2525C" w:rsidRPr="001C4404">
              <w:rPr>
                <w:bCs/>
                <w:szCs w:val="20"/>
              </w:rPr>
              <w:t>- Policy 004</w:t>
            </w:r>
          </w:p>
          <w:p w:rsidR="00A2525C" w:rsidRPr="001C4404" w:rsidRDefault="008D1F75" w:rsidP="001C4404">
            <w:pPr>
              <w:pStyle w:val="ListParagraph"/>
              <w:numPr>
                <w:ilvl w:val="0"/>
                <w:numId w:val="2"/>
              </w:numPr>
              <w:outlineLvl w:val="0"/>
              <w:rPr>
                <w:szCs w:val="18"/>
              </w:rPr>
            </w:pPr>
            <w:hyperlink r:id="rId16" w:history="1">
              <w:r w:rsidR="001C4404" w:rsidRPr="001C4404">
                <w:rPr>
                  <w:rStyle w:val="Hyperlink"/>
                  <w:szCs w:val="18"/>
                </w:rPr>
                <w:t>Affirmative Action Compliance Form</w:t>
              </w:r>
            </w:hyperlink>
          </w:p>
        </w:tc>
        <w:tc>
          <w:tcPr>
            <w:tcW w:w="5138" w:type="dxa"/>
            <w:vMerge w:val="restart"/>
          </w:tcPr>
          <w:p w:rsidR="008C7746" w:rsidRPr="00DB3A96" w:rsidRDefault="008C7746" w:rsidP="00D044F0"/>
          <w:p w:rsidR="008C7746" w:rsidRDefault="008C7746" w:rsidP="00D044F0"/>
          <w:p w:rsidR="008C7746" w:rsidRPr="0055367A" w:rsidRDefault="008C7746" w:rsidP="00D044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8C7746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7746" w:rsidRPr="006B1495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7746" w:rsidRPr="006B1495" w:rsidTr="001C4404">
        <w:trPr>
          <w:trHeight w:val="11"/>
        </w:trPr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8C7746" w:rsidRDefault="008C7746" w:rsidP="00D044F0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81" w:type="dxa"/>
            <w:vMerge/>
            <w:tcBorders>
              <w:bottom w:val="single" w:sz="4" w:space="0" w:color="auto"/>
            </w:tcBorders>
          </w:tcPr>
          <w:p w:rsidR="008C7746" w:rsidRPr="00ED6C64" w:rsidRDefault="008C7746" w:rsidP="00D044F0">
            <w:pPr>
              <w:tabs>
                <w:tab w:val="num" w:pos="1501"/>
              </w:tabs>
              <w:spacing w:after="100" w:afterAutospacing="1"/>
              <w:ind w:left="7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138" w:type="dxa"/>
            <w:vMerge/>
            <w:tcBorders>
              <w:bottom w:val="single" w:sz="4" w:space="0" w:color="auto"/>
            </w:tcBorders>
          </w:tcPr>
          <w:p w:rsidR="008C7746" w:rsidRPr="0055367A" w:rsidRDefault="008C7746" w:rsidP="00D044F0"/>
        </w:tc>
        <w:tc>
          <w:tcPr>
            <w:tcW w:w="1422" w:type="dxa"/>
            <w:tcBorders>
              <w:bottom w:val="single" w:sz="4" w:space="0" w:color="auto"/>
            </w:tcBorders>
          </w:tcPr>
          <w:p w:rsidR="008C7746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7746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7746" w:rsidRPr="006B1495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C7746" w:rsidRDefault="008C7746" w:rsidP="00A14DD8"/>
    <w:p w:rsidR="008C7746" w:rsidRDefault="008C7746" w:rsidP="00A14DD8"/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585"/>
        <w:gridCol w:w="4990"/>
        <w:gridCol w:w="1381"/>
      </w:tblGrid>
      <w:tr w:rsidR="008C7746" w:rsidTr="001C4404">
        <w:trPr>
          <w:trHeight w:val="29"/>
        </w:trPr>
        <w:tc>
          <w:tcPr>
            <w:tcW w:w="750" w:type="dxa"/>
            <w:shd w:val="clear" w:color="auto" w:fill="CAE1FF"/>
          </w:tcPr>
          <w:p w:rsidR="008C7746" w:rsidRDefault="008C7746" w:rsidP="00D044F0">
            <w:pPr>
              <w:spacing w:after="100" w:afterAutospacing="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85" w:type="dxa"/>
            <w:shd w:val="clear" w:color="auto" w:fill="CAE1FF"/>
          </w:tcPr>
          <w:p w:rsidR="008C7746" w:rsidRDefault="008C7746" w:rsidP="00D044F0">
            <w:pPr>
              <w:spacing w:after="100" w:afterAutospacing="1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Employee Files </w:t>
            </w:r>
          </w:p>
        </w:tc>
        <w:tc>
          <w:tcPr>
            <w:tcW w:w="4990" w:type="dxa"/>
            <w:shd w:val="clear" w:color="auto" w:fill="CAE1FF"/>
          </w:tcPr>
          <w:p w:rsidR="008C7746" w:rsidRDefault="008C7746" w:rsidP="00D044F0">
            <w:pPr>
              <w:spacing w:after="100" w:afterAutospacing="1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Observations</w:t>
            </w:r>
          </w:p>
        </w:tc>
        <w:tc>
          <w:tcPr>
            <w:tcW w:w="1381" w:type="dxa"/>
            <w:shd w:val="clear" w:color="auto" w:fill="CAE1FF"/>
          </w:tcPr>
          <w:p w:rsidR="008C7746" w:rsidRDefault="008C7746" w:rsidP="00D044F0">
            <w:pPr>
              <w:spacing w:after="100" w:afterAutospacing="1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Completed by</w:t>
            </w:r>
          </w:p>
        </w:tc>
      </w:tr>
      <w:tr w:rsidR="008C7746" w:rsidRPr="006B1495" w:rsidTr="001C4404">
        <w:trPr>
          <w:trHeight w:val="338"/>
        </w:trPr>
        <w:tc>
          <w:tcPr>
            <w:tcW w:w="750" w:type="dxa"/>
            <w:vMerge w:val="restart"/>
          </w:tcPr>
          <w:p w:rsidR="008C7746" w:rsidRDefault="008C7746" w:rsidP="00D044F0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525C" w:rsidRDefault="00A2525C" w:rsidP="00D044F0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C7746" w:rsidRDefault="008C7746" w:rsidP="00D044F0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585" w:type="dxa"/>
            <w:vMerge w:val="restart"/>
          </w:tcPr>
          <w:p w:rsidR="00A2525C" w:rsidRPr="001C4404" w:rsidRDefault="008D1F75" w:rsidP="001C4404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hyperlink r:id="rId17" w:history="1">
              <w:r w:rsidR="00A2525C" w:rsidRPr="001C4404">
                <w:rPr>
                  <w:rStyle w:val="Hyperlink"/>
                  <w:szCs w:val="20"/>
                </w:rPr>
                <w:t>Confidentiality of Records</w:t>
              </w:r>
            </w:hyperlink>
            <w:r w:rsidR="00A2525C" w:rsidRPr="001C4404">
              <w:rPr>
                <w:szCs w:val="20"/>
              </w:rPr>
              <w:t>- Policy 201</w:t>
            </w:r>
          </w:p>
          <w:p w:rsidR="00A2525C" w:rsidRPr="001C4404" w:rsidRDefault="008D1F75" w:rsidP="001C4404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hyperlink r:id="rId18" w:history="1">
              <w:r w:rsidR="00A2525C" w:rsidRPr="001C4404">
                <w:rPr>
                  <w:rStyle w:val="Hyperlink"/>
                  <w:szCs w:val="20"/>
                </w:rPr>
                <w:t>Records Retention for HR Files</w:t>
              </w:r>
            </w:hyperlink>
          </w:p>
          <w:p w:rsidR="00A2525C" w:rsidRPr="00127597" w:rsidRDefault="00A2525C" w:rsidP="00D044F0">
            <w:pPr>
              <w:tabs>
                <w:tab w:val="num" w:pos="1501"/>
              </w:tabs>
              <w:spacing w:after="100" w:afterAutospacing="1"/>
              <w:ind w:left="720"/>
              <w:rPr>
                <w:szCs w:val="18"/>
              </w:rPr>
            </w:pPr>
          </w:p>
        </w:tc>
        <w:tc>
          <w:tcPr>
            <w:tcW w:w="4990" w:type="dxa"/>
            <w:vMerge w:val="restart"/>
          </w:tcPr>
          <w:p w:rsidR="008C7746" w:rsidRPr="00DB3A96" w:rsidRDefault="008C7746" w:rsidP="00D044F0"/>
          <w:p w:rsidR="008C7746" w:rsidRDefault="008C7746" w:rsidP="00D044F0"/>
          <w:p w:rsidR="008C7746" w:rsidRPr="0055367A" w:rsidRDefault="008C7746" w:rsidP="00D044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1" w:type="dxa"/>
          </w:tcPr>
          <w:p w:rsidR="008C7746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7746" w:rsidRPr="006B1495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7746" w:rsidRPr="006B1495" w:rsidTr="001C4404">
        <w:trPr>
          <w:trHeight w:val="278"/>
        </w:trPr>
        <w:tc>
          <w:tcPr>
            <w:tcW w:w="750" w:type="dxa"/>
            <w:vMerge/>
            <w:tcBorders>
              <w:bottom w:val="single" w:sz="4" w:space="0" w:color="auto"/>
            </w:tcBorders>
          </w:tcPr>
          <w:p w:rsidR="008C7746" w:rsidRDefault="008C7746" w:rsidP="00D044F0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585" w:type="dxa"/>
            <w:vMerge/>
            <w:tcBorders>
              <w:bottom w:val="single" w:sz="4" w:space="0" w:color="auto"/>
            </w:tcBorders>
          </w:tcPr>
          <w:p w:rsidR="008C7746" w:rsidRPr="00ED6C64" w:rsidRDefault="008C7746" w:rsidP="00D044F0">
            <w:pPr>
              <w:tabs>
                <w:tab w:val="num" w:pos="1501"/>
              </w:tabs>
              <w:spacing w:after="100" w:afterAutospacing="1"/>
              <w:ind w:left="7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C7746" w:rsidRPr="0055367A" w:rsidRDefault="008C7746" w:rsidP="00D044F0"/>
        </w:tc>
        <w:tc>
          <w:tcPr>
            <w:tcW w:w="1381" w:type="dxa"/>
            <w:tcBorders>
              <w:bottom w:val="single" w:sz="4" w:space="0" w:color="auto"/>
            </w:tcBorders>
          </w:tcPr>
          <w:p w:rsidR="008C7746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7746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7746" w:rsidRPr="006B1495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C7746" w:rsidRDefault="008C7746" w:rsidP="00A14DD8">
      <w:pPr>
        <w:sectPr w:rsidR="008C7746">
          <w:footerReference w:type="default" r:id="rId19"/>
          <w:pgSz w:w="15840" w:h="12240" w:orient="landscape" w:code="1"/>
          <w:pgMar w:top="1008" w:right="576" w:bottom="1008" w:left="864" w:header="576" w:footer="576" w:gutter="0"/>
          <w:cols w:space="720"/>
          <w:docGrid w:linePitch="360"/>
        </w:sectPr>
      </w:pPr>
    </w:p>
    <w:tbl>
      <w:tblPr>
        <w:tblW w:w="14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6787"/>
        <w:gridCol w:w="5143"/>
        <w:gridCol w:w="1424"/>
      </w:tblGrid>
      <w:tr w:rsidR="008C7746" w:rsidTr="00D044F0">
        <w:trPr>
          <w:trHeight w:val="139"/>
        </w:trPr>
        <w:tc>
          <w:tcPr>
            <w:tcW w:w="773" w:type="dxa"/>
            <w:shd w:val="clear" w:color="auto" w:fill="CAE1FF"/>
          </w:tcPr>
          <w:p w:rsidR="008C7746" w:rsidRDefault="008C7746" w:rsidP="00D044F0">
            <w:pPr>
              <w:spacing w:after="100" w:afterAutospacing="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87" w:type="dxa"/>
            <w:shd w:val="clear" w:color="auto" w:fill="CAE1FF"/>
          </w:tcPr>
          <w:p w:rsidR="008C7746" w:rsidRDefault="008C7746" w:rsidP="00D044F0">
            <w:pPr>
              <w:spacing w:after="100" w:afterAutospacing="1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PTO and Sick Time (u@penn@pobox.upenn.edu)</w:t>
            </w:r>
          </w:p>
        </w:tc>
        <w:tc>
          <w:tcPr>
            <w:tcW w:w="5143" w:type="dxa"/>
            <w:shd w:val="clear" w:color="auto" w:fill="CAE1FF"/>
          </w:tcPr>
          <w:p w:rsidR="008C7746" w:rsidRDefault="008C7746" w:rsidP="00D044F0">
            <w:pPr>
              <w:spacing w:after="100" w:afterAutospacing="1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Observations</w:t>
            </w:r>
          </w:p>
        </w:tc>
        <w:tc>
          <w:tcPr>
            <w:tcW w:w="1424" w:type="dxa"/>
            <w:shd w:val="clear" w:color="auto" w:fill="CAE1FF"/>
          </w:tcPr>
          <w:p w:rsidR="008C7746" w:rsidRDefault="008C7746" w:rsidP="00D044F0">
            <w:pPr>
              <w:spacing w:after="100" w:afterAutospacing="1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Completed by</w:t>
            </w:r>
          </w:p>
        </w:tc>
      </w:tr>
      <w:tr w:rsidR="008C7746" w:rsidRPr="006B1495" w:rsidTr="00D044F0">
        <w:trPr>
          <w:trHeight w:val="1630"/>
        </w:trPr>
        <w:tc>
          <w:tcPr>
            <w:tcW w:w="773" w:type="dxa"/>
          </w:tcPr>
          <w:p w:rsidR="00A2525C" w:rsidRDefault="00A2525C" w:rsidP="00D044F0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C7746" w:rsidRDefault="008C7746" w:rsidP="00D044F0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  <w:p w:rsidR="00A2525C" w:rsidRDefault="00A2525C" w:rsidP="00D044F0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C7746" w:rsidRDefault="008C7746" w:rsidP="00D044F0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87" w:type="dxa"/>
          </w:tcPr>
          <w:p w:rsidR="00A2525C" w:rsidRPr="001C4404" w:rsidRDefault="008D1F75" w:rsidP="001C4404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hyperlink r:id="rId20" w:history="1">
              <w:r w:rsidR="00A2525C" w:rsidRPr="001C4404">
                <w:rPr>
                  <w:rStyle w:val="Hyperlink"/>
                  <w:szCs w:val="20"/>
                </w:rPr>
                <w:t>Attendance</w:t>
              </w:r>
            </w:hyperlink>
            <w:r w:rsidR="00A2525C" w:rsidRPr="001C4404">
              <w:rPr>
                <w:szCs w:val="20"/>
              </w:rPr>
              <w:t>- Policy 603</w:t>
            </w:r>
          </w:p>
          <w:p w:rsidR="00A2525C" w:rsidRPr="001C4404" w:rsidRDefault="008D1F75" w:rsidP="001C4404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hyperlink r:id="rId21" w:history="1">
              <w:r w:rsidR="00A2525C" w:rsidRPr="001C4404">
                <w:rPr>
                  <w:rStyle w:val="Hyperlink"/>
                  <w:szCs w:val="20"/>
                </w:rPr>
                <w:t>Paid Time Off</w:t>
              </w:r>
            </w:hyperlink>
            <w:r w:rsidR="00A2525C" w:rsidRPr="001C4404">
              <w:rPr>
                <w:szCs w:val="20"/>
              </w:rPr>
              <w:t>- Policy 607</w:t>
            </w:r>
          </w:p>
          <w:p w:rsidR="00A2525C" w:rsidRPr="001C4404" w:rsidRDefault="008D1F75" w:rsidP="001C4404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hyperlink r:id="rId22" w:history="1">
              <w:r w:rsidR="00A2525C" w:rsidRPr="001C4404">
                <w:rPr>
                  <w:rStyle w:val="Hyperlink"/>
                  <w:szCs w:val="20"/>
                </w:rPr>
                <w:t>Sick Leave-</w:t>
              </w:r>
            </w:hyperlink>
            <w:r w:rsidR="00A2525C" w:rsidRPr="001C4404">
              <w:rPr>
                <w:szCs w:val="20"/>
              </w:rPr>
              <w:t xml:space="preserve"> Policy 612</w:t>
            </w:r>
          </w:p>
          <w:p w:rsidR="00A2525C" w:rsidRPr="001C4404" w:rsidRDefault="008D1F75" w:rsidP="001C4404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hyperlink r:id="rId23" w:history="1">
              <w:r w:rsidR="00A2525C" w:rsidRPr="001C4404">
                <w:rPr>
                  <w:rStyle w:val="Hyperlink"/>
                  <w:szCs w:val="20"/>
                </w:rPr>
                <w:t>Sick Leave and Paid Time Off Credit for Transferred Staff and/or Staff Whose Position Classification or Grade Changes</w:t>
              </w:r>
            </w:hyperlink>
            <w:r w:rsidR="00A2525C" w:rsidRPr="001C4404">
              <w:rPr>
                <w:szCs w:val="20"/>
              </w:rPr>
              <w:t>- Policy 614</w:t>
            </w:r>
          </w:p>
          <w:p w:rsidR="00A2525C" w:rsidRPr="001C4404" w:rsidRDefault="008D1F75" w:rsidP="001C4404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hyperlink r:id="rId24" w:history="1">
              <w:r w:rsidR="00A2525C" w:rsidRPr="001C4404">
                <w:rPr>
                  <w:rStyle w:val="Hyperlink"/>
                  <w:szCs w:val="20"/>
                </w:rPr>
                <w:t>Family and Medical Leave (FMLA)-</w:t>
              </w:r>
            </w:hyperlink>
            <w:r w:rsidR="00A2525C" w:rsidRPr="001C4404">
              <w:rPr>
                <w:szCs w:val="20"/>
              </w:rPr>
              <w:t xml:space="preserve"> Policy 631</w:t>
            </w:r>
          </w:p>
          <w:p w:rsidR="00A2525C" w:rsidRPr="00127597" w:rsidRDefault="00A2525C" w:rsidP="008C7746">
            <w:pPr>
              <w:outlineLvl w:val="0"/>
              <w:rPr>
                <w:szCs w:val="18"/>
              </w:rPr>
            </w:pPr>
          </w:p>
        </w:tc>
        <w:tc>
          <w:tcPr>
            <w:tcW w:w="5143" w:type="dxa"/>
          </w:tcPr>
          <w:p w:rsidR="008C7746" w:rsidRPr="00DB3A96" w:rsidRDefault="008C7746" w:rsidP="00D044F0"/>
          <w:p w:rsidR="008C7746" w:rsidRDefault="008C7746" w:rsidP="00D044F0"/>
          <w:p w:rsidR="008C7746" w:rsidRPr="0055367A" w:rsidRDefault="008C7746" w:rsidP="00D044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4" w:type="dxa"/>
          </w:tcPr>
          <w:p w:rsidR="008C7746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7746" w:rsidRPr="006B1495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7746" w:rsidTr="008C7746">
        <w:trPr>
          <w:trHeight w:val="8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8C7746" w:rsidRPr="008C7746" w:rsidRDefault="008C7746" w:rsidP="00D044F0">
            <w:pPr>
              <w:spacing w:after="100" w:afterAutospacing="1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8C7746" w:rsidRPr="008C7746" w:rsidRDefault="008C7746" w:rsidP="008C774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Compensation/Payroll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8C7746" w:rsidRPr="008C7746" w:rsidRDefault="008C7746" w:rsidP="008C7746">
            <w:pPr>
              <w:rPr>
                <w:b/>
              </w:rPr>
            </w:pPr>
            <w:r w:rsidRPr="008C7746">
              <w:rPr>
                <w:b/>
              </w:rPr>
              <w:t>Observations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8C7746" w:rsidRPr="008C7746" w:rsidRDefault="008C7746" w:rsidP="008C77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746">
              <w:rPr>
                <w:rFonts w:ascii="Verdana" w:hAnsi="Verdana"/>
                <w:b/>
                <w:sz w:val="18"/>
                <w:szCs w:val="18"/>
              </w:rPr>
              <w:t>Completed by</w:t>
            </w:r>
          </w:p>
        </w:tc>
      </w:tr>
      <w:tr w:rsidR="008C7746" w:rsidRPr="006B1495" w:rsidTr="001C4404">
        <w:trPr>
          <w:trHeight w:val="10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C" w:rsidRPr="00A2525C" w:rsidRDefault="00A2525C" w:rsidP="00A252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C" w:rsidRPr="001C4404" w:rsidRDefault="008D1F75" w:rsidP="001C4404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hyperlink r:id="rId25" w:history="1">
              <w:r w:rsidR="00A2525C" w:rsidRPr="001C4404">
                <w:rPr>
                  <w:rStyle w:val="Hyperlink"/>
                  <w:szCs w:val="20"/>
                </w:rPr>
                <w:t>Pay Practices and Procedures</w:t>
              </w:r>
            </w:hyperlink>
            <w:r w:rsidR="00A2525C" w:rsidRPr="001C4404">
              <w:rPr>
                <w:szCs w:val="20"/>
              </w:rPr>
              <w:t>- Policy 307</w:t>
            </w:r>
          </w:p>
          <w:p w:rsidR="00A2525C" w:rsidRPr="001C4404" w:rsidRDefault="008D1F75" w:rsidP="001C4404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hyperlink r:id="rId26" w:history="1">
              <w:r w:rsidR="00A2525C" w:rsidRPr="001C4404">
                <w:rPr>
                  <w:rStyle w:val="Hyperlink"/>
                  <w:szCs w:val="20"/>
                </w:rPr>
                <w:t>Overtime Compensation and/or Compensatory Time</w:t>
              </w:r>
            </w:hyperlink>
            <w:r w:rsidR="00A2525C" w:rsidRPr="001C4404">
              <w:rPr>
                <w:szCs w:val="20"/>
              </w:rPr>
              <w:t>- Policy 302</w:t>
            </w:r>
          </w:p>
          <w:p w:rsidR="00A2525C" w:rsidRPr="001C4404" w:rsidRDefault="008D1F75" w:rsidP="001C4404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hyperlink r:id="rId27" w:history="1">
              <w:r w:rsidR="00A2525C" w:rsidRPr="001C4404">
                <w:rPr>
                  <w:rStyle w:val="Hyperlink"/>
                  <w:szCs w:val="20"/>
                </w:rPr>
                <w:t>Wharton’s Procedures for Flexible Work Options</w:t>
              </w:r>
            </w:hyperlink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6" w:rsidRPr="00DB3A96" w:rsidRDefault="008C7746" w:rsidP="00D044F0"/>
          <w:p w:rsidR="008C7746" w:rsidRDefault="008C7746" w:rsidP="00D044F0"/>
          <w:p w:rsidR="008C7746" w:rsidRPr="008C7746" w:rsidRDefault="008C7746" w:rsidP="00D044F0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6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7746" w:rsidRPr="006B1495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7746" w:rsidTr="008C7746">
        <w:trPr>
          <w:trHeight w:val="6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8C7746" w:rsidRPr="008C7746" w:rsidRDefault="008C7746" w:rsidP="00D044F0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8C7746" w:rsidRPr="008C7746" w:rsidRDefault="008C7746" w:rsidP="008C774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Temporary Workers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8C7746" w:rsidRPr="008C7746" w:rsidRDefault="008C7746" w:rsidP="008C7746">
            <w:pPr>
              <w:rPr>
                <w:b/>
              </w:rPr>
            </w:pPr>
            <w:r w:rsidRPr="008C7746">
              <w:rPr>
                <w:b/>
              </w:rPr>
              <w:t>Observations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8C7746" w:rsidRPr="008C7746" w:rsidRDefault="008C7746" w:rsidP="008C77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746">
              <w:rPr>
                <w:rFonts w:ascii="Verdana" w:hAnsi="Verdana"/>
                <w:b/>
                <w:sz w:val="18"/>
                <w:szCs w:val="18"/>
              </w:rPr>
              <w:t>Completed by</w:t>
            </w:r>
          </w:p>
        </w:tc>
      </w:tr>
      <w:tr w:rsidR="008C7746" w:rsidRPr="006B1495" w:rsidTr="001C4404">
        <w:trPr>
          <w:trHeight w:val="101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6" w:rsidRDefault="008C7746" w:rsidP="00D044F0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C" w:rsidRPr="001C4404" w:rsidRDefault="008D1F75" w:rsidP="001C4404">
            <w:pPr>
              <w:pStyle w:val="ListParagraph"/>
              <w:numPr>
                <w:ilvl w:val="0"/>
                <w:numId w:val="7"/>
              </w:numPr>
              <w:rPr>
                <w:bCs/>
                <w:szCs w:val="20"/>
              </w:rPr>
            </w:pPr>
            <w:hyperlink r:id="rId28" w:history="1">
              <w:r w:rsidR="00A2525C" w:rsidRPr="001C4404">
                <w:rPr>
                  <w:rStyle w:val="Hyperlink"/>
                  <w:bCs/>
                  <w:szCs w:val="20"/>
                </w:rPr>
                <w:t>Temporary Extra Persons</w:t>
              </w:r>
            </w:hyperlink>
            <w:r w:rsidR="00A2525C" w:rsidRPr="001C4404">
              <w:rPr>
                <w:bCs/>
                <w:szCs w:val="20"/>
              </w:rPr>
              <w:t>- Policy 114</w:t>
            </w:r>
          </w:p>
          <w:p w:rsidR="00A2525C" w:rsidRPr="001C4404" w:rsidRDefault="008D1F75" w:rsidP="001C4404">
            <w:pPr>
              <w:pStyle w:val="ListParagraph"/>
              <w:numPr>
                <w:ilvl w:val="0"/>
                <w:numId w:val="7"/>
              </w:numPr>
              <w:rPr>
                <w:bCs/>
                <w:szCs w:val="20"/>
              </w:rPr>
            </w:pPr>
            <w:hyperlink r:id="rId29" w:history="1">
              <w:r w:rsidR="00A2525C" w:rsidRPr="001C4404">
                <w:rPr>
                  <w:rStyle w:val="Hyperlink"/>
                  <w:bCs/>
                  <w:szCs w:val="20"/>
                </w:rPr>
                <w:t>Access Privileges for Temporary Employees</w:t>
              </w:r>
            </w:hyperlink>
            <w:r w:rsidR="00A2525C" w:rsidRPr="001C4404">
              <w:rPr>
                <w:bCs/>
                <w:szCs w:val="20"/>
              </w:rPr>
              <w:t xml:space="preserve">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6" w:rsidRPr="00DB3A96" w:rsidRDefault="008C7746" w:rsidP="00D044F0"/>
          <w:p w:rsidR="008C7746" w:rsidRDefault="008C7746" w:rsidP="00D044F0"/>
          <w:p w:rsidR="008C7746" w:rsidRPr="008C7746" w:rsidRDefault="008C7746" w:rsidP="00D044F0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6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7746" w:rsidRPr="006B1495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7746" w:rsidTr="008C7746">
        <w:trPr>
          <w:trHeight w:val="6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8C7746" w:rsidRPr="008C7746" w:rsidRDefault="008C7746" w:rsidP="00D044F0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8C7746" w:rsidRPr="008C7746" w:rsidRDefault="008C7746" w:rsidP="008C774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Staff Relations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8C7746" w:rsidRPr="008C7746" w:rsidRDefault="008C7746" w:rsidP="008C7746">
            <w:pPr>
              <w:rPr>
                <w:b/>
              </w:rPr>
            </w:pPr>
            <w:r w:rsidRPr="008C7746">
              <w:rPr>
                <w:b/>
              </w:rPr>
              <w:t>Observations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8C7746" w:rsidRPr="008C7746" w:rsidRDefault="008C7746" w:rsidP="008C77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746">
              <w:rPr>
                <w:rFonts w:ascii="Verdana" w:hAnsi="Verdana"/>
                <w:b/>
                <w:sz w:val="18"/>
                <w:szCs w:val="18"/>
              </w:rPr>
              <w:t>Completed by</w:t>
            </w:r>
          </w:p>
        </w:tc>
      </w:tr>
      <w:tr w:rsidR="008C7746" w:rsidRPr="006B1495" w:rsidTr="001C4404">
        <w:trPr>
          <w:trHeight w:val="14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C" w:rsidRDefault="00A2525C" w:rsidP="00D044F0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C7746" w:rsidRDefault="008C7746" w:rsidP="00D044F0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C" w:rsidRPr="001C4404" w:rsidRDefault="008D1F75" w:rsidP="001C4404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hyperlink r:id="rId30" w:history="1">
              <w:r w:rsidR="00A2525C" w:rsidRPr="001C4404">
                <w:rPr>
                  <w:rStyle w:val="Hyperlink"/>
                  <w:szCs w:val="20"/>
                </w:rPr>
                <w:t>Staff and Labor Relations</w:t>
              </w:r>
            </w:hyperlink>
            <w:r w:rsidR="00A2525C" w:rsidRPr="001C4404">
              <w:rPr>
                <w:szCs w:val="20"/>
              </w:rPr>
              <w:t xml:space="preserve"> website</w:t>
            </w:r>
          </w:p>
          <w:p w:rsidR="00A2525C" w:rsidRPr="001C4404" w:rsidRDefault="008D1F75" w:rsidP="001C4404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hyperlink r:id="rId31" w:history="1">
              <w:r w:rsidR="00A2525C" w:rsidRPr="001C4404">
                <w:rPr>
                  <w:rStyle w:val="Hyperlink"/>
                  <w:szCs w:val="20"/>
                </w:rPr>
                <w:t>Confidentiality of Records</w:t>
              </w:r>
            </w:hyperlink>
            <w:r w:rsidR="00A2525C" w:rsidRPr="001C4404">
              <w:rPr>
                <w:szCs w:val="20"/>
              </w:rPr>
              <w:t>- Policy 201</w:t>
            </w:r>
          </w:p>
          <w:p w:rsidR="00A2525C" w:rsidRPr="001C4404" w:rsidRDefault="008D1F75" w:rsidP="001C4404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hyperlink r:id="rId32" w:history="1">
              <w:r w:rsidR="00A2525C" w:rsidRPr="001C4404">
                <w:rPr>
                  <w:rStyle w:val="Hyperlink"/>
                  <w:szCs w:val="20"/>
                </w:rPr>
                <w:t>Performance Improvement/Discipline</w:t>
              </w:r>
            </w:hyperlink>
            <w:r w:rsidR="00A2525C" w:rsidRPr="001C4404">
              <w:rPr>
                <w:szCs w:val="20"/>
              </w:rPr>
              <w:t>- Policy 621</w:t>
            </w:r>
          </w:p>
          <w:p w:rsidR="00A2525C" w:rsidRPr="001C4404" w:rsidRDefault="008D1F75" w:rsidP="001C4404">
            <w:pPr>
              <w:pStyle w:val="ListParagraph"/>
              <w:numPr>
                <w:ilvl w:val="0"/>
                <w:numId w:val="8"/>
              </w:numPr>
              <w:tabs>
                <w:tab w:val="left" w:pos="5790"/>
              </w:tabs>
              <w:rPr>
                <w:szCs w:val="20"/>
              </w:rPr>
            </w:pPr>
            <w:hyperlink r:id="rId33" w:history="1">
              <w:r w:rsidR="00A2525C" w:rsidRPr="001C4404">
                <w:rPr>
                  <w:rStyle w:val="Hyperlink"/>
                  <w:szCs w:val="20"/>
                </w:rPr>
                <w:t>Equal Employment and Affirmative Action</w:t>
              </w:r>
            </w:hyperlink>
            <w:r w:rsidR="00A2525C" w:rsidRPr="001C4404">
              <w:rPr>
                <w:szCs w:val="20"/>
              </w:rPr>
              <w:t>- Policy 004</w:t>
            </w:r>
            <w:r w:rsidR="00A2525C" w:rsidRPr="001C4404">
              <w:rPr>
                <w:szCs w:val="20"/>
              </w:rPr>
              <w:tab/>
            </w:r>
          </w:p>
          <w:p w:rsidR="00A2525C" w:rsidRPr="00A2525C" w:rsidRDefault="00A2525C" w:rsidP="00A2525C">
            <w:pPr>
              <w:tabs>
                <w:tab w:val="left" w:pos="1020"/>
              </w:tabs>
              <w:rPr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6" w:rsidRPr="00DB3A96" w:rsidRDefault="008C7746" w:rsidP="00D044F0"/>
          <w:p w:rsidR="008C7746" w:rsidRDefault="008C7746" w:rsidP="00D044F0"/>
          <w:p w:rsidR="008C7746" w:rsidRPr="008C7746" w:rsidRDefault="008C7746" w:rsidP="00D044F0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6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7746" w:rsidRPr="006B1495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14DD8" w:rsidRDefault="00A14DD8" w:rsidP="00A14DD8"/>
    <w:p w:rsidR="008C7746" w:rsidRDefault="008C7746" w:rsidP="00A14DD8"/>
    <w:p w:rsidR="008C7746" w:rsidRDefault="008C7746" w:rsidP="00A14DD8"/>
    <w:tbl>
      <w:tblPr>
        <w:tblW w:w="14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6787"/>
        <w:gridCol w:w="5143"/>
        <w:gridCol w:w="1424"/>
      </w:tblGrid>
      <w:tr w:rsidR="008C7746" w:rsidRPr="008C7746" w:rsidTr="00D044F0">
        <w:trPr>
          <w:trHeight w:val="6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8C7746" w:rsidRPr="008C7746" w:rsidRDefault="008C7746" w:rsidP="00D044F0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8C7746" w:rsidRPr="008C7746" w:rsidRDefault="008C7746" w:rsidP="00D044F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Performance Appraisals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8C7746" w:rsidRPr="008C7746" w:rsidRDefault="008C7746" w:rsidP="00D044F0">
            <w:pPr>
              <w:rPr>
                <w:b/>
              </w:rPr>
            </w:pPr>
            <w:r w:rsidRPr="008C7746">
              <w:rPr>
                <w:b/>
              </w:rPr>
              <w:t>Observations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8C7746" w:rsidRPr="008C7746" w:rsidRDefault="008C7746" w:rsidP="00D044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746">
              <w:rPr>
                <w:rFonts w:ascii="Verdana" w:hAnsi="Verdana"/>
                <w:b/>
                <w:sz w:val="18"/>
                <w:szCs w:val="18"/>
              </w:rPr>
              <w:t>Completed by</w:t>
            </w:r>
          </w:p>
        </w:tc>
      </w:tr>
      <w:tr w:rsidR="008C7746" w:rsidRPr="006B1495" w:rsidTr="001C4404">
        <w:trPr>
          <w:trHeight w:val="11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6" w:rsidRDefault="008C7746" w:rsidP="00A2525C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525C" w:rsidRDefault="00A2525C" w:rsidP="00D044F0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C7746" w:rsidRDefault="008C7746" w:rsidP="00D044F0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C" w:rsidRPr="001C4404" w:rsidRDefault="008D1F75" w:rsidP="001C4404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hyperlink r:id="rId34" w:history="1">
              <w:r w:rsidR="00A2525C" w:rsidRPr="001C4404">
                <w:rPr>
                  <w:rStyle w:val="Hyperlink"/>
                  <w:szCs w:val="20"/>
                </w:rPr>
                <w:t>Introductory Period</w:t>
              </w:r>
            </w:hyperlink>
            <w:r w:rsidR="00A2525C" w:rsidRPr="001C4404">
              <w:rPr>
                <w:szCs w:val="20"/>
              </w:rPr>
              <w:t>- Policy 618</w:t>
            </w:r>
          </w:p>
          <w:p w:rsidR="00A2525C" w:rsidRPr="001C4404" w:rsidRDefault="008D1F75" w:rsidP="001C4404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hyperlink r:id="rId35" w:history="1">
              <w:r w:rsidR="00A2525C" w:rsidRPr="001C4404">
                <w:rPr>
                  <w:rStyle w:val="Hyperlink"/>
                  <w:szCs w:val="20"/>
                </w:rPr>
                <w:t>Performance and Staff Development Guidelines</w:t>
              </w:r>
            </w:hyperlink>
            <w:r w:rsidR="00A2525C" w:rsidRPr="001C4404">
              <w:rPr>
                <w:szCs w:val="20"/>
              </w:rPr>
              <w:t xml:space="preserve"> </w:t>
            </w:r>
          </w:p>
          <w:p w:rsidR="00A2525C" w:rsidRPr="001C4404" w:rsidRDefault="008D1F75" w:rsidP="001C4404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hyperlink r:id="rId36" w:history="1">
              <w:r w:rsidR="00A2525C" w:rsidRPr="001C4404">
                <w:rPr>
                  <w:rStyle w:val="Hyperlink"/>
                  <w:szCs w:val="20"/>
                </w:rPr>
                <w:t>Performance and Staff Development Program</w:t>
              </w:r>
            </w:hyperlink>
            <w:r w:rsidR="00A2525C" w:rsidRPr="001C4404">
              <w:rPr>
                <w:szCs w:val="20"/>
              </w:rPr>
              <w:t>- all forms</w:t>
            </w:r>
          </w:p>
          <w:p w:rsidR="00A2525C" w:rsidRPr="008C7746" w:rsidRDefault="00A2525C" w:rsidP="00A2525C">
            <w:pPr>
              <w:rPr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6" w:rsidRPr="00DB3A96" w:rsidRDefault="008C7746" w:rsidP="00D044F0"/>
          <w:p w:rsidR="008C7746" w:rsidRDefault="008C7746" w:rsidP="00D044F0"/>
          <w:p w:rsidR="008C7746" w:rsidRPr="008C7746" w:rsidRDefault="008C7746" w:rsidP="00D044F0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6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7746" w:rsidRPr="006B1495" w:rsidRDefault="008C7746" w:rsidP="00D044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66"/>
        <w:tblW w:w="14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6787"/>
        <w:gridCol w:w="5143"/>
        <w:gridCol w:w="1424"/>
      </w:tblGrid>
      <w:tr w:rsidR="001C4404" w:rsidRPr="008C7746" w:rsidTr="001C4404">
        <w:trPr>
          <w:trHeight w:val="6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1C4404" w:rsidRPr="008C7746" w:rsidRDefault="001C4404" w:rsidP="001C4404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1C4404" w:rsidRPr="008C7746" w:rsidRDefault="001C4404" w:rsidP="001C440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Professional Development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1C4404" w:rsidRPr="008C7746" w:rsidRDefault="001C4404" w:rsidP="001C4404">
            <w:pPr>
              <w:rPr>
                <w:b/>
              </w:rPr>
            </w:pPr>
            <w:r w:rsidRPr="008C7746">
              <w:rPr>
                <w:b/>
              </w:rPr>
              <w:t>Observations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1FF"/>
          </w:tcPr>
          <w:p w:rsidR="001C4404" w:rsidRPr="008C7746" w:rsidRDefault="001C4404" w:rsidP="001C44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746">
              <w:rPr>
                <w:rFonts w:ascii="Verdana" w:hAnsi="Verdana"/>
                <w:b/>
                <w:sz w:val="18"/>
                <w:szCs w:val="18"/>
              </w:rPr>
              <w:t>Completed by</w:t>
            </w:r>
          </w:p>
        </w:tc>
      </w:tr>
      <w:tr w:rsidR="001C4404" w:rsidRPr="006B1495" w:rsidTr="001C4404">
        <w:trPr>
          <w:trHeight w:val="7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4" w:rsidRDefault="001C4404" w:rsidP="001C4404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  <w:p w:rsidR="001C4404" w:rsidRDefault="001C4404" w:rsidP="001C4404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4" w:rsidRPr="001C4404" w:rsidRDefault="008D1F75" w:rsidP="001C4404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hyperlink r:id="rId37" w:history="1">
              <w:r w:rsidR="001C4404" w:rsidRPr="001C4404">
                <w:rPr>
                  <w:rStyle w:val="Hyperlink"/>
                  <w:szCs w:val="20"/>
                </w:rPr>
                <w:t>Performance and Staff Development Program</w:t>
              </w:r>
            </w:hyperlink>
            <w:r w:rsidR="001C4404" w:rsidRPr="001C4404">
              <w:rPr>
                <w:szCs w:val="20"/>
              </w:rPr>
              <w:t>- Policy 619</w:t>
            </w:r>
          </w:p>
          <w:p w:rsidR="001C4404" w:rsidRPr="001C4404" w:rsidRDefault="008D1F75" w:rsidP="001C4404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hyperlink r:id="rId38" w:history="1">
              <w:r w:rsidR="001C4404" w:rsidRPr="001C4404">
                <w:rPr>
                  <w:rStyle w:val="Hyperlink"/>
                  <w:szCs w:val="20"/>
                </w:rPr>
                <w:t>Professional Develo</w:t>
              </w:r>
              <w:bookmarkStart w:id="0" w:name="_GoBack"/>
              <w:bookmarkEnd w:id="0"/>
              <w:r w:rsidR="001C4404" w:rsidRPr="001C4404">
                <w:rPr>
                  <w:rStyle w:val="Hyperlink"/>
                  <w:szCs w:val="20"/>
                </w:rPr>
                <w:t>pment</w:t>
              </w:r>
            </w:hyperlink>
            <w:r w:rsidR="001C4404" w:rsidRPr="001C4404">
              <w:rPr>
                <w:szCs w:val="20"/>
              </w:rPr>
              <w:t>- Wharton HR website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4" w:rsidRPr="00DB3A96" w:rsidRDefault="001C4404" w:rsidP="001C4404"/>
          <w:p w:rsidR="001C4404" w:rsidRDefault="001C4404" w:rsidP="001C4404"/>
          <w:p w:rsidR="001C4404" w:rsidRPr="008C7746" w:rsidRDefault="001C4404" w:rsidP="001C4404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4" w:rsidRDefault="001C4404" w:rsidP="001C44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C4404" w:rsidRPr="006B1495" w:rsidRDefault="001C4404" w:rsidP="001C44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C7746" w:rsidRDefault="008C7746" w:rsidP="00A14DD8"/>
    <w:tbl>
      <w:tblPr>
        <w:tblpPr w:leftFromText="180" w:rightFromText="180" w:vertAnchor="text" w:horzAnchor="margin" w:tblpY="193"/>
        <w:tblW w:w="3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450"/>
      </w:tblGrid>
      <w:tr w:rsidR="001C4404" w:rsidRPr="00B90323" w:rsidTr="001C4404">
        <w:tc>
          <w:tcPr>
            <w:tcW w:w="3528" w:type="dxa"/>
          </w:tcPr>
          <w:p w:rsidR="001C4404" w:rsidRDefault="001C4404" w:rsidP="001C4404">
            <w:r>
              <w:t>Overall Rating:</w:t>
            </w:r>
          </w:p>
        </w:tc>
        <w:tc>
          <w:tcPr>
            <w:tcW w:w="450" w:type="dxa"/>
          </w:tcPr>
          <w:p w:rsidR="001C4404" w:rsidRPr="00B90323" w:rsidRDefault="001C4404" w:rsidP="001C4404">
            <w:pPr>
              <w:rPr>
                <w:b/>
                <w:color w:val="FF0000"/>
              </w:rPr>
            </w:pPr>
          </w:p>
        </w:tc>
      </w:tr>
    </w:tbl>
    <w:p w:rsidR="008C7746" w:rsidRDefault="008C7746" w:rsidP="00A14DD8"/>
    <w:p w:rsidR="008C7746" w:rsidRDefault="008C7746" w:rsidP="00A14DD8"/>
    <w:p w:rsidR="008C7746" w:rsidRDefault="008C7746" w:rsidP="00A14DD8"/>
    <w:tbl>
      <w:tblPr>
        <w:tblpPr w:leftFromText="180" w:rightFromText="180" w:vertAnchor="text" w:horzAnchor="margin" w:tblpY="-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</w:tblGrid>
      <w:tr w:rsidR="001C4404" w:rsidRPr="006C2E53" w:rsidTr="001C4404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04" w:rsidRPr="004F71DF" w:rsidRDefault="001C4404" w:rsidP="001C4404">
            <w:pPr>
              <w:jc w:val="center"/>
              <w:rPr>
                <w:b/>
              </w:rPr>
            </w:pPr>
            <w:r>
              <w:rPr>
                <w:b/>
              </w:rPr>
              <w:t>Rating Categories</w:t>
            </w:r>
          </w:p>
        </w:tc>
      </w:tr>
      <w:tr w:rsidR="001C4404" w:rsidRPr="006C2E53" w:rsidTr="001C4404">
        <w:tc>
          <w:tcPr>
            <w:tcW w:w="7308" w:type="dxa"/>
          </w:tcPr>
          <w:p w:rsidR="001C4404" w:rsidRPr="006C2E53" w:rsidRDefault="001C4404" w:rsidP="001C4404">
            <w:r w:rsidRPr="00190EF5">
              <w:rPr>
                <w:b/>
              </w:rPr>
              <w:t>5</w:t>
            </w:r>
          </w:p>
        </w:tc>
      </w:tr>
      <w:tr w:rsidR="001C4404" w:rsidRPr="006C2E53" w:rsidTr="001C4404">
        <w:tc>
          <w:tcPr>
            <w:tcW w:w="7308" w:type="dxa"/>
          </w:tcPr>
          <w:p w:rsidR="001C4404" w:rsidRPr="006C2E53" w:rsidRDefault="001C4404" w:rsidP="001C4404">
            <w:r>
              <w:t>No adverse observations were identified.  Processes are</w:t>
            </w:r>
            <w:r w:rsidRPr="00494351">
              <w:t xml:space="preserve"> functioning as intended and no additional actions are necessary at this time.</w:t>
            </w:r>
          </w:p>
        </w:tc>
      </w:tr>
      <w:tr w:rsidR="001C4404" w:rsidRPr="006C2E53" w:rsidTr="001C4404">
        <w:tc>
          <w:tcPr>
            <w:tcW w:w="7308" w:type="dxa"/>
          </w:tcPr>
          <w:p w:rsidR="001C4404" w:rsidRPr="006C2E53" w:rsidRDefault="001C4404" w:rsidP="001C4404">
            <w:r w:rsidRPr="00190EF5">
              <w:rPr>
                <w:b/>
              </w:rPr>
              <w:t>3</w:t>
            </w:r>
          </w:p>
        </w:tc>
      </w:tr>
      <w:tr w:rsidR="001C4404" w:rsidRPr="006C2E53" w:rsidTr="001C4404">
        <w:tc>
          <w:tcPr>
            <w:tcW w:w="7308" w:type="dxa"/>
          </w:tcPr>
          <w:p w:rsidR="001C4404" w:rsidRPr="006C2E53" w:rsidRDefault="001C4404" w:rsidP="001C4404">
            <w:r>
              <w:t>Minor observation(s) requiring correction were identified.  Essentially, the processes are functioning as intended; however, minor changes are necessary to make processes more compliant.</w:t>
            </w:r>
          </w:p>
        </w:tc>
      </w:tr>
      <w:tr w:rsidR="001C4404" w:rsidRPr="006C2E53" w:rsidTr="001C4404">
        <w:tc>
          <w:tcPr>
            <w:tcW w:w="7308" w:type="dxa"/>
          </w:tcPr>
          <w:p w:rsidR="001C4404" w:rsidRPr="006C2E53" w:rsidRDefault="001C4404" w:rsidP="001C4404">
            <w:r w:rsidRPr="00190EF5">
              <w:rPr>
                <w:b/>
              </w:rPr>
              <w:t>1</w:t>
            </w:r>
          </w:p>
        </w:tc>
      </w:tr>
      <w:tr w:rsidR="001C4404" w:rsidRPr="006C2E53" w:rsidTr="001C4404">
        <w:tc>
          <w:tcPr>
            <w:tcW w:w="7308" w:type="dxa"/>
          </w:tcPr>
          <w:p w:rsidR="001C4404" w:rsidRPr="006C2E53" w:rsidRDefault="001C4404" w:rsidP="001C4404">
            <w:r>
              <w:t xml:space="preserve">Several observations not relating to intentional noncompliance were identified.  </w:t>
            </w:r>
            <w:r w:rsidRPr="00494351">
              <w:t>Immediate actions need to be taken to address the deficiencies noted.</w:t>
            </w:r>
            <w:r>
              <w:t xml:space="preserve"> </w:t>
            </w:r>
          </w:p>
        </w:tc>
      </w:tr>
      <w:tr w:rsidR="001C4404" w:rsidRPr="006C2E53" w:rsidTr="001C4404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04" w:rsidRPr="00E157E0" w:rsidRDefault="001C4404" w:rsidP="001C440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C4404" w:rsidRPr="006C2E53" w:rsidTr="001C4404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04" w:rsidRPr="006C2E53" w:rsidRDefault="001C4404" w:rsidP="001C4404">
            <w:r>
              <w:t>Several observations were identified that demonstrated intentional noncompliance.  Follow up/re-audit in 6 months.</w:t>
            </w:r>
          </w:p>
        </w:tc>
      </w:tr>
      <w:tr w:rsidR="001C4404" w:rsidRPr="006C2E53" w:rsidTr="001C4404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04" w:rsidRPr="00E157E0" w:rsidRDefault="001C4404" w:rsidP="001C4404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C4404" w:rsidRPr="006C2E53" w:rsidTr="001C4404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04" w:rsidRPr="006C2E53" w:rsidRDefault="001C4404" w:rsidP="001C4404">
            <w:r>
              <w:t xml:space="preserve">Not enough information to rate. Knowledge is up to par. </w:t>
            </w:r>
          </w:p>
        </w:tc>
      </w:tr>
    </w:tbl>
    <w:p w:rsidR="008C7746" w:rsidRDefault="008C7746" w:rsidP="00A14DD8"/>
    <w:p w:rsidR="008C7746" w:rsidRDefault="008C7746" w:rsidP="00A14DD8"/>
    <w:p w:rsidR="008C7746" w:rsidRDefault="008C7746" w:rsidP="00A14DD8"/>
    <w:p w:rsidR="008C7746" w:rsidRDefault="008C7746" w:rsidP="00A14DD8"/>
    <w:p w:rsidR="00A14DD8" w:rsidRDefault="00A14DD8" w:rsidP="00A14DD8"/>
    <w:p w:rsidR="00A14DD8" w:rsidRDefault="00A14DD8" w:rsidP="00A14DD8"/>
    <w:p w:rsidR="00A14DD8" w:rsidRDefault="00A14DD8" w:rsidP="00A14DD8"/>
    <w:p w:rsidR="00A21EA3" w:rsidRDefault="00A21EA3" w:rsidP="00A21EA3"/>
    <w:p w:rsidR="00A21EA3" w:rsidRDefault="00A21EA3" w:rsidP="00A21EA3">
      <w:pPr>
        <w:pBdr>
          <w:bottom w:val="single" w:sz="6" w:space="1" w:color="auto"/>
        </w:pBdr>
      </w:pPr>
    </w:p>
    <w:p w:rsidR="00A21EA3" w:rsidRDefault="00A21EA3" w:rsidP="00A21EA3">
      <w:r>
        <w:t>Business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21EA3" w:rsidRDefault="00A21EA3" w:rsidP="00A21EA3"/>
    <w:p w:rsidR="00A21EA3" w:rsidRDefault="00A21EA3" w:rsidP="00A21EA3"/>
    <w:p w:rsidR="00A21EA3" w:rsidRDefault="00A21EA3" w:rsidP="00A21EA3">
      <w:pPr>
        <w:pBdr>
          <w:bottom w:val="single" w:sz="6" w:space="1" w:color="auto"/>
        </w:pBdr>
      </w:pPr>
    </w:p>
    <w:p w:rsidR="00A21EA3" w:rsidRDefault="009D3B37" w:rsidP="00A21EA3">
      <w:r>
        <w:t>Wharton Human Resources Representative</w:t>
      </w:r>
      <w:r w:rsidR="00A21EA3">
        <w:tab/>
      </w:r>
      <w:r w:rsidR="00A21EA3">
        <w:tab/>
      </w:r>
      <w:r w:rsidR="00A21EA3">
        <w:tab/>
      </w:r>
      <w:r w:rsidR="00A21EA3">
        <w:tab/>
      </w:r>
      <w:r w:rsidR="00A21EA3">
        <w:tab/>
      </w:r>
      <w:r w:rsidR="00A21EA3">
        <w:tab/>
      </w:r>
      <w:r w:rsidR="00D036A4">
        <w:tab/>
      </w:r>
      <w:r w:rsidR="00A21EA3">
        <w:t>Date</w:t>
      </w:r>
    </w:p>
    <w:p w:rsidR="00A21EA3" w:rsidRDefault="00A21EA3" w:rsidP="00A21EA3"/>
    <w:p w:rsidR="00A21EA3" w:rsidRDefault="00A21EA3" w:rsidP="00A21EA3"/>
    <w:sectPr w:rsidR="00A21EA3" w:rsidSect="00A91711">
      <w:pgSz w:w="15840" w:h="12240" w:orient="landscape" w:code="1"/>
      <w:pgMar w:top="1008" w:right="576" w:bottom="1008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6D" w:rsidRDefault="0089706D">
      <w:r>
        <w:separator/>
      </w:r>
    </w:p>
  </w:endnote>
  <w:endnote w:type="continuationSeparator" w:id="0">
    <w:p w:rsidR="0089706D" w:rsidRDefault="0089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96" w:rsidRDefault="00DB3A96">
    <w:pPr>
      <w:pStyle w:val="Footer"/>
      <w:rPr>
        <w:i/>
        <w:iCs/>
        <w:sz w:val="22"/>
      </w:rPr>
    </w:pPr>
    <w:r>
      <w:rPr>
        <w:i/>
        <w:iCs/>
        <w:sz w:val="22"/>
      </w:rPr>
      <w:t xml:space="preserve">Page </w:t>
    </w:r>
    <w:r>
      <w:rPr>
        <w:i/>
        <w:iCs/>
        <w:sz w:val="22"/>
      </w:rPr>
      <w:fldChar w:fldCharType="begin"/>
    </w:r>
    <w:r>
      <w:rPr>
        <w:i/>
        <w:iCs/>
        <w:sz w:val="22"/>
      </w:rPr>
      <w:instrText xml:space="preserve"> PAGE </w:instrText>
    </w:r>
    <w:r>
      <w:rPr>
        <w:i/>
        <w:iCs/>
        <w:sz w:val="22"/>
      </w:rPr>
      <w:fldChar w:fldCharType="separate"/>
    </w:r>
    <w:r w:rsidR="008D1F75">
      <w:rPr>
        <w:i/>
        <w:iCs/>
        <w:noProof/>
        <w:sz w:val="22"/>
      </w:rPr>
      <w:t>2</w:t>
    </w:r>
    <w:r>
      <w:rPr>
        <w:i/>
        <w:iCs/>
        <w:sz w:val="22"/>
      </w:rPr>
      <w:fldChar w:fldCharType="end"/>
    </w:r>
    <w:r>
      <w:rPr>
        <w:i/>
        <w:iCs/>
        <w:sz w:val="22"/>
      </w:rPr>
      <w:t xml:space="preserve"> of </w:t>
    </w:r>
    <w:r>
      <w:rPr>
        <w:i/>
        <w:iCs/>
        <w:sz w:val="22"/>
      </w:rPr>
      <w:fldChar w:fldCharType="begin"/>
    </w:r>
    <w:r>
      <w:rPr>
        <w:i/>
        <w:iCs/>
        <w:sz w:val="22"/>
      </w:rPr>
      <w:instrText xml:space="preserve"> NUMPAGES </w:instrText>
    </w:r>
    <w:r>
      <w:rPr>
        <w:i/>
        <w:iCs/>
        <w:sz w:val="22"/>
      </w:rPr>
      <w:fldChar w:fldCharType="separate"/>
    </w:r>
    <w:r w:rsidR="008D1F75">
      <w:rPr>
        <w:i/>
        <w:iCs/>
        <w:noProof/>
        <w:sz w:val="22"/>
      </w:rPr>
      <w:t>3</w:t>
    </w:r>
    <w:r>
      <w:rPr>
        <w:i/>
        <w:iCs/>
        <w:sz w:val="22"/>
      </w:rPr>
      <w:fldChar w:fldCharType="end"/>
    </w:r>
  </w:p>
  <w:p w:rsidR="00C07FD6" w:rsidRPr="00C07FD6" w:rsidRDefault="00DB3A96">
    <w:pPr>
      <w:pStyle w:val="Footer"/>
      <w:rPr>
        <w:i/>
        <w:iCs/>
        <w:color w:val="003366"/>
        <w:sz w:val="22"/>
      </w:rPr>
    </w:pPr>
    <w:r>
      <w:rPr>
        <w:i/>
        <w:iCs/>
        <w:color w:val="003366"/>
        <w:sz w:val="22"/>
      </w:rPr>
      <w:t>Wharton School</w:t>
    </w:r>
    <w:r>
      <w:rPr>
        <w:i/>
        <w:iCs/>
        <w:color w:val="003366"/>
        <w:sz w:val="22"/>
      </w:rPr>
      <w:tab/>
    </w:r>
    <w:r>
      <w:rPr>
        <w:i/>
        <w:iCs/>
        <w:color w:val="003366"/>
        <w:sz w:val="22"/>
      </w:rPr>
      <w:tab/>
    </w:r>
    <w:r>
      <w:rPr>
        <w:i/>
        <w:iCs/>
        <w:color w:val="003366"/>
        <w:sz w:val="22"/>
      </w:rPr>
      <w:tab/>
    </w:r>
    <w:r>
      <w:rPr>
        <w:i/>
        <w:iCs/>
        <w:color w:val="003366"/>
        <w:sz w:val="22"/>
      </w:rPr>
      <w:tab/>
    </w:r>
    <w:r>
      <w:rPr>
        <w:i/>
        <w:iCs/>
        <w:color w:val="003366"/>
        <w:sz w:val="22"/>
      </w:rPr>
      <w:tab/>
    </w:r>
    <w:r w:rsidR="00C07FD6">
      <w:rPr>
        <w:i/>
        <w:iCs/>
        <w:color w:val="003366"/>
        <w:sz w:val="22"/>
      </w:rPr>
      <w:t>Wharton Human 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6D" w:rsidRDefault="0089706D">
      <w:r>
        <w:separator/>
      </w:r>
    </w:p>
  </w:footnote>
  <w:footnote w:type="continuationSeparator" w:id="0">
    <w:p w:rsidR="0089706D" w:rsidRDefault="0089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6295"/>
    <w:multiLevelType w:val="hybridMultilevel"/>
    <w:tmpl w:val="70F85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1C24"/>
    <w:multiLevelType w:val="hybridMultilevel"/>
    <w:tmpl w:val="9E3A8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2289"/>
    <w:multiLevelType w:val="hybridMultilevel"/>
    <w:tmpl w:val="573E4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16C9A"/>
    <w:multiLevelType w:val="hybridMultilevel"/>
    <w:tmpl w:val="1DC0A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23B3D"/>
    <w:multiLevelType w:val="hybridMultilevel"/>
    <w:tmpl w:val="BA4C9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D7E9C"/>
    <w:multiLevelType w:val="hybridMultilevel"/>
    <w:tmpl w:val="E6003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35B3"/>
    <w:multiLevelType w:val="hybridMultilevel"/>
    <w:tmpl w:val="B010C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41866"/>
    <w:multiLevelType w:val="hybridMultilevel"/>
    <w:tmpl w:val="6F882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0900"/>
    <w:multiLevelType w:val="hybridMultilevel"/>
    <w:tmpl w:val="CE8EC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E0C35"/>
    <w:multiLevelType w:val="hybridMultilevel"/>
    <w:tmpl w:val="F91AD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E4"/>
    <w:rsid w:val="00002BA0"/>
    <w:rsid w:val="00003141"/>
    <w:rsid w:val="00013565"/>
    <w:rsid w:val="00020CD6"/>
    <w:rsid w:val="00020FD8"/>
    <w:rsid w:val="00023640"/>
    <w:rsid w:val="000243DB"/>
    <w:rsid w:val="00026EF2"/>
    <w:rsid w:val="000312AD"/>
    <w:rsid w:val="000315F3"/>
    <w:rsid w:val="00035C07"/>
    <w:rsid w:val="000439FA"/>
    <w:rsid w:val="00051B40"/>
    <w:rsid w:val="00056566"/>
    <w:rsid w:val="0005755E"/>
    <w:rsid w:val="00060B02"/>
    <w:rsid w:val="00063240"/>
    <w:rsid w:val="000704F2"/>
    <w:rsid w:val="00074B72"/>
    <w:rsid w:val="00075579"/>
    <w:rsid w:val="00076EE4"/>
    <w:rsid w:val="000874B9"/>
    <w:rsid w:val="00091193"/>
    <w:rsid w:val="00094D31"/>
    <w:rsid w:val="000A73CE"/>
    <w:rsid w:val="000B4CB4"/>
    <w:rsid w:val="000C0218"/>
    <w:rsid w:val="000C6A7F"/>
    <w:rsid w:val="000D2B66"/>
    <w:rsid w:val="000D54FC"/>
    <w:rsid w:val="000D73BC"/>
    <w:rsid w:val="000E0FB6"/>
    <w:rsid w:val="000E2DB1"/>
    <w:rsid w:val="000F1683"/>
    <w:rsid w:val="000F26D7"/>
    <w:rsid w:val="000F5C50"/>
    <w:rsid w:val="000F7930"/>
    <w:rsid w:val="001104E2"/>
    <w:rsid w:val="00114FD2"/>
    <w:rsid w:val="00116D96"/>
    <w:rsid w:val="00125A10"/>
    <w:rsid w:val="00127597"/>
    <w:rsid w:val="00127ABA"/>
    <w:rsid w:val="00134214"/>
    <w:rsid w:val="0013629B"/>
    <w:rsid w:val="00136931"/>
    <w:rsid w:val="00144541"/>
    <w:rsid w:val="001512AD"/>
    <w:rsid w:val="00151CF9"/>
    <w:rsid w:val="00152DBC"/>
    <w:rsid w:val="0016171C"/>
    <w:rsid w:val="00166036"/>
    <w:rsid w:val="001711DB"/>
    <w:rsid w:val="001741D5"/>
    <w:rsid w:val="001755F3"/>
    <w:rsid w:val="00175CAF"/>
    <w:rsid w:val="00183524"/>
    <w:rsid w:val="001853F6"/>
    <w:rsid w:val="00190A97"/>
    <w:rsid w:val="00191995"/>
    <w:rsid w:val="001A1ADB"/>
    <w:rsid w:val="001B30B6"/>
    <w:rsid w:val="001B7548"/>
    <w:rsid w:val="001C027D"/>
    <w:rsid w:val="001C1661"/>
    <w:rsid w:val="001C217E"/>
    <w:rsid w:val="001C4404"/>
    <w:rsid w:val="001C7C4E"/>
    <w:rsid w:val="001C7C88"/>
    <w:rsid w:val="001D1225"/>
    <w:rsid w:val="001D1BD2"/>
    <w:rsid w:val="001D30EE"/>
    <w:rsid w:val="001D35E4"/>
    <w:rsid w:val="001E3995"/>
    <w:rsid w:val="001E49C6"/>
    <w:rsid w:val="001E6AD5"/>
    <w:rsid w:val="001F580D"/>
    <w:rsid w:val="001F7751"/>
    <w:rsid w:val="00204DDB"/>
    <w:rsid w:val="0020735E"/>
    <w:rsid w:val="00214F7C"/>
    <w:rsid w:val="00223409"/>
    <w:rsid w:val="00233950"/>
    <w:rsid w:val="00234B17"/>
    <w:rsid w:val="00234D80"/>
    <w:rsid w:val="00252923"/>
    <w:rsid w:val="00253E9F"/>
    <w:rsid w:val="002541FD"/>
    <w:rsid w:val="002709BA"/>
    <w:rsid w:val="00271973"/>
    <w:rsid w:val="00271B13"/>
    <w:rsid w:val="00280048"/>
    <w:rsid w:val="0028153E"/>
    <w:rsid w:val="00297D6C"/>
    <w:rsid w:val="002A4B38"/>
    <w:rsid w:val="002B193B"/>
    <w:rsid w:val="002B43FB"/>
    <w:rsid w:val="002C4BC9"/>
    <w:rsid w:val="002D345A"/>
    <w:rsid w:val="002D38E2"/>
    <w:rsid w:val="002D4971"/>
    <w:rsid w:val="002D54E3"/>
    <w:rsid w:val="002D5E71"/>
    <w:rsid w:val="002E19B6"/>
    <w:rsid w:val="002E3535"/>
    <w:rsid w:val="002F62AC"/>
    <w:rsid w:val="00321044"/>
    <w:rsid w:val="00327BDC"/>
    <w:rsid w:val="00327D59"/>
    <w:rsid w:val="00330248"/>
    <w:rsid w:val="00337D3C"/>
    <w:rsid w:val="00347974"/>
    <w:rsid w:val="00350B5F"/>
    <w:rsid w:val="0035176F"/>
    <w:rsid w:val="00353EB6"/>
    <w:rsid w:val="00360A15"/>
    <w:rsid w:val="00367FE4"/>
    <w:rsid w:val="003747F3"/>
    <w:rsid w:val="0038092D"/>
    <w:rsid w:val="00381735"/>
    <w:rsid w:val="00396AAC"/>
    <w:rsid w:val="003A4817"/>
    <w:rsid w:val="003B0D6B"/>
    <w:rsid w:val="003B17AB"/>
    <w:rsid w:val="003B5CE4"/>
    <w:rsid w:val="003C00E1"/>
    <w:rsid w:val="003C0E5E"/>
    <w:rsid w:val="003C478D"/>
    <w:rsid w:val="003C7DB8"/>
    <w:rsid w:val="003D5910"/>
    <w:rsid w:val="003D5F25"/>
    <w:rsid w:val="003D62A4"/>
    <w:rsid w:val="003D7A1F"/>
    <w:rsid w:val="003F3C51"/>
    <w:rsid w:val="00404747"/>
    <w:rsid w:val="004064EE"/>
    <w:rsid w:val="00407973"/>
    <w:rsid w:val="00414E51"/>
    <w:rsid w:val="00423B97"/>
    <w:rsid w:val="00424A06"/>
    <w:rsid w:val="00427F58"/>
    <w:rsid w:val="0043088D"/>
    <w:rsid w:val="00433BDF"/>
    <w:rsid w:val="0043693E"/>
    <w:rsid w:val="00444853"/>
    <w:rsid w:val="00444F52"/>
    <w:rsid w:val="00445A95"/>
    <w:rsid w:val="00445B2F"/>
    <w:rsid w:val="004476D2"/>
    <w:rsid w:val="0045088F"/>
    <w:rsid w:val="00451069"/>
    <w:rsid w:val="00455D42"/>
    <w:rsid w:val="00457842"/>
    <w:rsid w:val="00462B1C"/>
    <w:rsid w:val="00464B0E"/>
    <w:rsid w:val="00475DDE"/>
    <w:rsid w:val="00476269"/>
    <w:rsid w:val="00484B54"/>
    <w:rsid w:val="00487505"/>
    <w:rsid w:val="00490DDD"/>
    <w:rsid w:val="004916C6"/>
    <w:rsid w:val="00491D61"/>
    <w:rsid w:val="004A1AB2"/>
    <w:rsid w:val="004A1E63"/>
    <w:rsid w:val="004A3A69"/>
    <w:rsid w:val="004A7C1D"/>
    <w:rsid w:val="004B36CF"/>
    <w:rsid w:val="004C405E"/>
    <w:rsid w:val="004C43E9"/>
    <w:rsid w:val="004C7CE7"/>
    <w:rsid w:val="004D12C2"/>
    <w:rsid w:val="004D2BA5"/>
    <w:rsid w:val="004D3237"/>
    <w:rsid w:val="004D4EAF"/>
    <w:rsid w:val="004D5C20"/>
    <w:rsid w:val="004F1AA2"/>
    <w:rsid w:val="004F4EFD"/>
    <w:rsid w:val="005023D5"/>
    <w:rsid w:val="005036B1"/>
    <w:rsid w:val="00504F81"/>
    <w:rsid w:val="0051742B"/>
    <w:rsid w:val="00520B46"/>
    <w:rsid w:val="00522CC8"/>
    <w:rsid w:val="005245C3"/>
    <w:rsid w:val="00530E6C"/>
    <w:rsid w:val="00532E81"/>
    <w:rsid w:val="0053614B"/>
    <w:rsid w:val="00540E97"/>
    <w:rsid w:val="00546F8D"/>
    <w:rsid w:val="0055367A"/>
    <w:rsid w:val="00554125"/>
    <w:rsid w:val="00560177"/>
    <w:rsid w:val="005676B7"/>
    <w:rsid w:val="005713A2"/>
    <w:rsid w:val="0057537B"/>
    <w:rsid w:val="005762FC"/>
    <w:rsid w:val="00577220"/>
    <w:rsid w:val="00581223"/>
    <w:rsid w:val="005828D5"/>
    <w:rsid w:val="00582CF9"/>
    <w:rsid w:val="00586D07"/>
    <w:rsid w:val="0058753E"/>
    <w:rsid w:val="005901F0"/>
    <w:rsid w:val="0059742F"/>
    <w:rsid w:val="00597FC7"/>
    <w:rsid w:val="005A6EF0"/>
    <w:rsid w:val="005B172A"/>
    <w:rsid w:val="005B18D5"/>
    <w:rsid w:val="005C01CB"/>
    <w:rsid w:val="005C03D0"/>
    <w:rsid w:val="005C03D2"/>
    <w:rsid w:val="005C21FE"/>
    <w:rsid w:val="005D4BB4"/>
    <w:rsid w:val="005D788F"/>
    <w:rsid w:val="005E4A06"/>
    <w:rsid w:val="005E5A51"/>
    <w:rsid w:val="005E7C02"/>
    <w:rsid w:val="005F07C1"/>
    <w:rsid w:val="005F2E8B"/>
    <w:rsid w:val="005F66B5"/>
    <w:rsid w:val="00602852"/>
    <w:rsid w:val="00603A45"/>
    <w:rsid w:val="0060573E"/>
    <w:rsid w:val="00605C62"/>
    <w:rsid w:val="0061501D"/>
    <w:rsid w:val="006204AA"/>
    <w:rsid w:val="006207A3"/>
    <w:rsid w:val="00625074"/>
    <w:rsid w:val="00633C3C"/>
    <w:rsid w:val="00634BBC"/>
    <w:rsid w:val="00640C4C"/>
    <w:rsid w:val="0064252A"/>
    <w:rsid w:val="00651406"/>
    <w:rsid w:val="00653343"/>
    <w:rsid w:val="00655F56"/>
    <w:rsid w:val="0065786B"/>
    <w:rsid w:val="00657A54"/>
    <w:rsid w:val="00661150"/>
    <w:rsid w:val="0066781C"/>
    <w:rsid w:val="00673510"/>
    <w:rsid w:val="00673D44"/>
    <w:rsid w:val="00682E09"/>
    <w:rsid w:val="00687E6D"/>
    <w:rsid w:val="0069607B"/>
    <w:rsid w:val="006964C9"/>
    <w:rsid w:val="006A1ACA"/>
    <w:rsid w:val="006A61A7"/>
    <w:rsid w:val="006A729A"/>
    <w:rsid w:val="006B106C"/>
    <w:rsid w:val="006B1495"/>
    <w:rsid w:val="006C0010"/>
    <w:rsid w:val="006C0F9E"/>
    <w:rsid w:val="006C1728"/>
    <w:rsid w:val="006D364D"/>
    <w:rsid w:val="006E302A"/>
    <w:rsid w:val="006E7302"/>
    <w:rsid w:val="006F18D4"/>
    <w:rsid w:val="00704163"/>
    <w:rsid w:val="007065FD"/>
    <w:rsid w:val="0070748B"/>
    <w:rsid w:val="00707A7F"/>
    <w:rsid w:val="007148DF"/>
    <w:rsid w:val="00721BE8"/>
    <w:rsid w:val="007238F5"/>
    <w:rsid w:val="00725C09"/>
    <w:rsid w:val="00734310"/>
    <w:rsid w:val="007476DE"/>
    <w:rsid w:val="00747F4A"/>
    <w:rsid w:val="00750A43"/>
    <w:rsid w:val="007511C8"/>
    <w:rsid w:val="00751417"/>
    <w:rsid w:val="00764E96"/>
    <w:rsid w:val="00766ACA"/>
    <w:rsid w:val="00771A11"/>
    <w:rsid w:val="00772016"/>
    <w:rsid w:val="00772092"/>
    <w:rsid w:val="00772811"/>
    <w:rsid w:val="007826E9"/>
    <w:rsid w:val="00784A76"/>
    <w:rsid w:val="00787FFB"/>
    <w:rsid w:val="00796C1B"/>
    <w:rsid w:val="007A03D2"/>
    <w:rsid w:val="007A5CAE"/>
    <w:rsid w:val="007A5DF2"/>
    <w:rsid w:val="007B2CAB"/>
    <w:rsid w:val="007B56DB"/>
    <w:rsid w:val="007B5967"/>
    <w:rsid w:val="007B6049"/>
    <w:rsid w:val="007C2CF2"/>
    <w:rsid w:val="007C3F30"/>
    <w:rsid w:val="007C4BF7"/>
    <w:rsid w:val="007C5926"/>
    <w:rsid w:val="007D0591"/>
    <w:rsid w:val="007D1510"/>
    <w:rsid w:val="007D1D07"/>
    <w:rsid w:val="007D2E77"/>
    <w:rsid w:val="007D3D5E"/>
    <w:rsid w:val="007D4476"/>
    <w:rsid w:val="007E0ED0"/>
    <w:rsid w:val="007E49D8"/>
    <w:rsid w:val="007E4F3E"/>
    <w:rsid w:val="007E72BE"/>
    <w:rsid w:val="007F25E3"/>
    <w:rsid w:val="007F3209"/>
    <w:rsid w:val="007F4E66"/>
    <w:rsid w:val="007F73AC"/>
    <w:rsid w:val="008068E8"/>
    <w:rsid w:val="00811915"/>
    <w:rsid w:val="00811EDE"/>
    <w:rsid w:val="00813AE8"/>
    <w:rsid w:val="008243F4"/>
    <w:rsid w:val="008330FC"/>
    <w:rsid w:val="00840323"/>
    <w:rsid w:val="008452DE"/>
    <w:rsid w:val="00847479"/>
    <w:rsid w:val="00847D13"/>
    <w:rsid w:val="00851133"/>
    <w:rsid w:val="00853C5E"/>
    <w:rsid w:val="00861543"/>
    <w:rsid w:val="00861DE4"/>
    <w:rsid w:val="00871A16"/>
    <w:rsid w:val="00874DA5"/>
    <w:rsid w:val="00877749"/>
    <w:rsid w:val="008951EF"/>
    <w:rsid w:val="0089706D"/>
    <w:rsid w:val="008A151C"/>
    <w:rsid w:val="008A1A3F"/>
    <w:rsid w:val="008A31D6"/>
    <w:rsid w:val="008A4D75"/>
    <w:rsid w:val="008A6052"/>
    <w:rsid w:val="008A6C43"/>
    <w:rsid w:val="008B5904"/>
    <w:rsid w:val="008B71DC"/>
    <w:rsid w:val="008B7B0C"/>
    <w:rsid w:val="008C11A1"/>
    <w:rsid w:val="008C2657"/>
    <w:rsid w:val="008C2E0B"/>
    <w:rsid w:val="008C7746"/>
    <w:rsid w:val="008D1F75"/>
    <w:rsid w:val="008D75EE"/>
    <w:rsid w:val="008E0197"/>
    <w:rsid w:val="008E33E5"/>
    <w:rsid w:val="008E41EF"/>
    <w:rsid w:val="008E46E9"/>
    <w:rsid w:val="008E7E74"/>
    <w:rsid w:val="008F3473"/>
    <w:rsid w:val="00900137"/>
    <w:rsid w:val="00910CE3"/>
    <w:rsid w:val="009111AD"/>
    <w:rsid w:val="009143FF"/>
    <w:rsid w:val="00923320"/>
    <w:rsid w:val="0092616F"/>
    <w:rsid w:val="00926AE9"/>
    <w:rsid w:val="00933485"/>
    <w:rsid w:val="00935508"/>
    <w:rsid w:val="009370D9"/>
    <w:rsid w:val="00946864"/>
    <w:rsid w:val="00951A9D"/>
    <w:rsid w:val="009554BE"/>
    <w:rsid w:val="009558A8"/>
    <w:rsid w:val="00967E40"/>
    <w:rsid w:val="00983088"/>
    <w:rsid w:val="00997222"/>
    <w:rsid w:val="009A0B3C"/>
    <w:rsid w:val="009A685F"/>
    <w:rsid w:val="009A77DA"/>
    <w:rsid w:val="009B5976"/>
    <w:rsid w:val="009C3199"/>
    <w:rsid w:val="009C540E"/>
    <w:rsid w:val="009D3B37"/>
    <w:rsid w:val="009D3DEF"/>
    <w:rsid w:val="009D72C0"/>
    <w:rsid w:val="009E1048"/>
    <w:rsid w:val="009E6CC2"/>
    <w:rsid w:val="009E7ADA"/>
    <w:rsid w:val="009F0484"/>
    <w:rsid w:val="009F4A3D"/>
    <w:rsid w:val="009F538D"/>
    <w:rsid w:val="009F784D"/>
    <w:rsid w:val="00A13A62"/>
    <w:rsid w:val="00A14934"/>
    <w:rsid w:val="00A14DD8"/>
    <w:rsid w:val="00A21EA3"/>
    <w:rsid w:val="00A2525C"/>
    <w:rsid w:val="00A345D8"/>
    <w:rsid w:val="00A35CF5"/>
    <w:rsid w:val="00A37B9E"/>
    <w:rsid w:val="00A4175C"/>
    <w:rsid w:val="00A44320"/>
    <w:rsid w:val="00A44A75"/>
    <w:rsid w:val="00A4593A"/>
    <w:rsid w:val="00A4748B"/>
    <w:rsid w:val="00A52D0B"/>
    <w:rsid w:val="00A54DA2"/>
    <w:rsid w:val="00A66420"/>
    <w:rsid w:val="00A71DEF"/>
    <w:rsid w:val="00A73314"/>
    <w:rsid w:val="00A74DC8"/>
    <w:rsid w:val="00A76E4E"/>
    <w:rsid w:val="00A807A8"/>
    <w:rsid w:val="00A91711"/>
    <w:rsid w:val="00A91B57"/>
    <w:rsid w:val="00A92BC7"/>
    <w:rsid w:val="00A93200"/>
    <w:rsid w:val="00A93EBA"/>
    <w:rsid w:val="00AA0031"/>
    <w:rsid w:val="00AA2866"/>
    <w:rsid w:val="00AA7567"/>
    <w:rsid w:val="00AA766F"/>
    <w:rsid w:val="00AB4B0A"/>
    <w:rsid w:val="00AC6264"/>
    <w:rsid w:val="00AD0CA1"/>
    <w:rsid w:val="00AE1843"/>
    <w:rsid w:val="00AE1965"/>
    <w:rsid w:val="00AE1B26"/>
    <w:rsid w:val="00AF054C"/>
    <w:rsid w:val="00AF092D"/>
    <w:rsid w:val="00AF69AF"/>
    <w:rsid w:val="00B00761"/>
    <w:rsid w:val="00B014A7"/>
    <w:rsid w:val="00B02FE1"/>
    <w:rsid w:val="00B04364"/>
    <w:rsid w:val="00B0770B"/>
    <w:rsid w:val="00B1055B"/>
    <w:rsid w:val="00B10EF8"/>
    <w:rsid w:val="00B116C6"/>
    <w:rsid w:val="00B170ED"/>
    <w:rsid w:val="00B21586"/>
    <w:rsid w:val="00B26573"/>
    <w:rsid w:val="00B52225"/>
    <w:rsid w:val="00B53952"/>
    <w:rsid w:val="00B542C5"/>
    <w:rsid w:val="00B547A3"/>
    <w:rsid w:val="00B54856"/>
    <w:rsid w:val="00B6282C"/>
    <w:rsid w:val="00B71C29"/>
    <w:rsid w:val="00B77216"/>
    <w:rsid w:val="00B92618"/>
    <w:rsid w:val="00B9397D"/>
    <w:rsid w:val="00B9664E"/>
    <w:rsid w:val="00BA7244"/>
    <w:rsid w:val="00BB6511"/>
    <w:rsid w:val="00BB76E3"/>
    <w:rsid w:val="00BB7ADF"/>
    <w:rsid w:val="00BC1718"/>
    <w:rsid w:val="00BC2EDF"/>
    <w:rsid w:val="00BC55D3"/>
    <w:rsid w:val="00BC70BD"/>
    <w:rsid w:val="00BD0228"/>
    <w:rsid w:val="00BD4D12"/>
    <w:rsid w:val="00BE0E04"/>
    <w:rsid w:val="00BE26B9"/>
    <w:rsid w:val="00BE7BCA"/>
    <w:rsid w:val="00BF23D8"/>
    <w:rsid w:val="00BF57E9"/>
    <w:rsid w:val="00C017D9"/>
    <w:rsid w:val="00C0684E"/>
    <w:rsid w:val="00C07FD6"/>
    <w:rsid w:val="00C1242D"/>
    <w:rsid w:val="00C15E4A"/>
    <w:rsid w:val="00C310DC"/>
    <w:rsid w:val="00C31DC1"/>
    <w:rsid w:val="00C449D2"/>
    <w:rsid w:val="00C5417D"/>
    <w:rsid w:val="00C56879"/>
    <w:rsid w:val="00C71C0A"/>
    <w:rsid w:val="00C7773F"/>
    <w:rsid w:val="00C77879"/>
    <w:rsid w:val="00C92AE0"/>
    <w:rsid w:val="00C970B3"/>
    <w:rsid w:val="00C97587"/>
    <w:rsid w:val="00CA23C1"/>
    <w:rsid w:val="00CB202E"/>
    <w:rsid w:val="00CB372A"/>
    <w:rsid w:val="00CC0C0F"/>
    <w:rsid w:val="00CC5DEB"/>
    <w:rsid w:val="00CD01CE"/>
    <w:rsid w:val="00CD0D98"/>
    <w:rsid w:val="00CD29B5"/>
    <w:rsid w:val="00CE7533"/>
    <w:rsid w:val="00CF1502"/>
    <w:rsid w:val="00CF2CFD"/>
    <w:rsid w:val="00CF4BDB"/>
    <w:rsid w:val="00CF7601"/>
    <w:rsid w:val="00D01457"/>
    <w:rsid w:val="00D036A4"/>
    <w:rsid w:val="00D04183"/>
    <w:rsid w:val="00D07097"/>
    <w:rsid w:val="00D127BE"/>
    <w:rsid w:val="00D16522"/>
    <w:rsid w:val="00D20F4E"/>
    <w:rsid w:val="00D30DEE"/>
    <w:rsid w:val="00D3199E"/>
    <w:rsid w:val="00D33F9F"/>
    <w:rsid w:val="00D37FFA"/>
    <w:rsid w:val="00D45D54"/>
    <w:rsid w:val="00D516EA"/>
    <w:rsid w:val="00D51DD0"/>
    <w:rsid w:val="00D523F1"/>
    <w:rsid w:val="00D54808"/>
    <w:rsid w:val="00D61F97"/>
    <w:rsid w:val="00D63E5C"/>
    <w:rsid w:val="00D645A1"/>
    <w:rsid w:val="00D65B60"/>
    <w:rsid w:val="00D7086F"/>
    <w:rsid w:val="00D70CD2"/>
    <w:rsid w:val="00D734B5"/>
    <w:rsid w:val="00D743CE"/>
    <w:rsid w:val="00D75BC4"/>
    <w:rsid w:val="00D82FCC"/>
    <w:rsid w:val="00D84742"/>
    <w:rsid w:val="00D95AE6"/>
    <w:rsid w:val="00D95DA9"/>
    <w:rsid w:val="00D97FC7"/>
    <w:rsid w:val="00DA0553"/>
    <w:rsid w:val="00DA2214"/>
    <w:rsid w:val="00DB2841"/>
    <w:rsid w:val="00DB3A96"/>
    <w:rsid w:val="00DB6059"/>
    <w:rsid w:val="00DB637B"/>
    <w:rsid w:val="00DC6703"/>
    <w:rsid w:val="00DD24CE"/>
    <w:rsid w:val="00DE02FF"/>
    <w:rsid w:val="00DE37DA"/>
    <w:rsid w:val="00DF03C0"/>
    <w:rsid w:val="00DF38A0"/>
    <w:rsid w:val="00DF6652"/>
    <w:rsid w:val="00E04AA3"/>
    <w:rsid w:val="00E06D75"/>
    <w:rsid w:val="00E133D9"/>
    <w:rsid w:val="00E14872"/>
    <w:rsid w:val="00E14F78"/>
    <w:rsid w:val="00E31E8F"/>
    <w:rsid w:val="00E320CB"/>
    <w:rsid w:val="00E35369"/>
    <w:rsid w:val="00E40D67"/>
    <w:rsid w:val="00E41771"/>
    <w:rsid w:val="00E46F9C"/>
    <w:rsid w:val="00E55E53"/>
    <w:rsid w:val="00E60B85"/>
    <w:rsid w:val="00E62238"/>
    <w:rsid w:val="00E71A78"/>
    <w:rsid w:val="00E72992"/>
    <w:rsid w:val="00E72E0A"/>
    <w:rsid w:val="00E745AE"/>
    <w:rsid w:val="00E81B50"/>
    <w:rsid w:val="00E90AFD"/>
    <w:rsid w:val="00E9323A"/>
    <w:rsid w:val="00E97A7F"/>
    <w:rsid w:val="00EA2FA4"/>
    <w:rsid w:val="00EA7277"/>
    <w:rsid w:val="00EA7BAA"/>
    <w:rsid w:val="00EB43BD"/>
    <w:rsid w:val="00EB5CC4"/>
    <w:rsid w:val="00EC2209"/>
    <w:rsid w:val="00EC4097"/>
    <w:rsid w:val="00EC5E5A"/>
    <w:rsid w:val="00ED6C64"/>
    <w:rsid w:val="00EE4F60"/>
    <w:rsid w:val="00EF65F3"/>
    <w:rsid w:val="00F023CB"/>
    <w:rsid w:val="00F07668"/>
    <w:rsid w:val="00F07FC3"/>
    <w:rsid w:val="00F11DDF"/>
    <w:rsid w:val="00F14F6D"/>
    <w:rsid w:val="00F15F0F"/>
    <w:rsid w:val="00F31261"/>
    <w:rsid w:val="00F31524"/>
    <w:rsid w:val="00F31D5E"/>
    <w:rsid w:val="00F31E09"/>
    <w:rsid w:val="00F37EE3"/>
    <w:rsid w:val="00F41659"/>
    <w:rsid w:val="00F46A52"/>
    <w:rsid w:val="00F51344"/>
    <w:rsid w:val="00F539FB"/>
    <w:rsid w:val="00F6270B"/>
    <w:rsid w:val="00F64E02"/>
    <w:rsid w:val="00F673CB"/>
    <w:rsid w:val="00F70408"/>
    <w:rsid w:val="00F801DD"/>
    <w:rsid w:val="00F83560"/>
    <w:rsid w:val="00F8480F"/>
    <w:rsid w:val="00F85468"/>
    <w:rsid w:val="00F87814"/>
    <w:rsid w:val="00F90028"/>
    <w:rsid w:val="00F9407A"/>
    <w:rsid w:val="00F97EBB"/>
    <w:rsid w:val="00FA39B8"/>
    <w:rsid w:val="00FA50C2"/>
    <w:rsid w:val="00FB515F"/>
    <w:rsid w:val="00FB621D"/>
    <w:rsid w:val="00FC07BF"/>
    <w:rsid w:val="00FC3ACB"/>
    <w:rsid w:val="00FC3E7D"/>
    <w:rsid w:val="00FC4522"/>
    <w:rsid w:val="00FC7901"/>
    <w:rsid w:val="00FD037F"/>
    <w:rsid w:val="00FD0ED5"/>
    <w:rsid w:val="00FD62AD"/>
    <w:rsid w:val="00FE1CEE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2B8610-9FDF-4C0E-A486-208950FD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711"/>
    <w:rPr>
      <w:sz w:val="24"/>
      <w:szCs w:val="24"/>
    </w:rPr>
  </w:style>
  <w:style w:type="paragraph" w:styleId="Heading2">
    <w:name w:val="heading 2"/>
    <w:basedOn w:val="Normal"/>
    <w:next w:val="Normal"/>
    <w:qFormat/>
    <w:rsid w:val="00A91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1711"/>
    <w:rPr>
      <w:color w:val="0000FF"/>
      <w:u w:val="single"/>
    </w:rPr>
  </w:style>
  <w:style w:type="paragraph" w:styleId="BodyText">
    <w:name w:val="Body Text"/>
    <w:basedOn w:val="Normal"/>
    <w:rsid w:val="00A91711"/>
    <w:rPr>
      <w:rFonts w:ascii="Verdana" w:hAnsi="Verdana"/>
      <w:sz w:val="18"/>
      <w:szCs w:val="20"/>
    </w:rPr>
  </w:style>
  <w:style w:type="paragraph" w:styleId="BodyTextIndent2">
    <w:name w:val="Body Text Indent 2"/>
    <w:basedOn w:val="Normal"/>
    <w:rsid w:val="00A91711"/>
    <w:pPr>
      <w:ind w:left="1273" w:hanging="360"/>
    </w:pPr>
    <w:rPr>
      <w:rFonts w:ascii="Verdana" w:hAnsi="Verdana"/>
      <w:sz w:val="18"/>
      <w:szCs w:val="20"/>
    </w:rPr>
  </w:style>
  <w:style w:type="paragraph" w:styleId="BodyTextIndent">
    <w:name w:val="Body Text Indent"/>
    <w:basedOn w:val="Normal"/>
    <w:rsid w:val="00A91711"/>
    <w:pPr>
      <w:ind w:left="373"/>
    </w:pPr>
    <w:rPr>
      <w:rFonts w:ascii="Verdana" w:hAnsi="Verdana"/>
      <w:sz w:val="18"/>
      <w:szCs w:val="20"/>
    </w:rPr>
  </w:style>
  <w:style w:type="paragraph" w:styleId="Header">
    <w:name w:val="header"/>
    <w:basedOn w:val="Normal"/>
    <w:rsid w:val="00A9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7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5D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036A4"/>
    <w:rPr>
      <w:color w:val="800080"/>
      <w:u w:val="single"/>
    </w:rPr>
  </w:style>
  <w:style w:type="character" w:styleId="HTMLCite">
    <w:name w:val="HTML Cite"/>
    <w:basedOn w:val="DefaultParagraphFont"/>
    <w:rsid w:val="00CF1502"/>
    <w:rPr>
      <w:i w:val="0"/>
      <w:iCs w:val="0"/>
      <w:color w:val="008000"/>
    </w:rPr>
  </w:style>
  <w:style w:type="paragraph" w:styleId="NormalWeb">
    <w:name w:val="Normal (Web)"/>
    <w:basedOn w:val="Normal"/>
    <w:rsid w:val="00C7787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qFormat/>
    <w:rsid w:val="00C77879"/>
    <w:rPr>
      <w:b/>
      <w:bCs/>
    </w:rPr>
  </w:style>
  <w:style w:type="paragraph" w:styleId="ListParagraph">
    <w:name w:val="List Paragraph"/>
    <w:basedOn w:val="Normal"/>
    <w:qFormat/>
    <w:rsid w:val="00861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r.upenn.edu/myhr/resources/policy/recruitment/staffrequisitioning" TargetMode="External"/><Relationship Id="rId18" Type="http://schemas.openxmlformats.org/officeDocument/2006/relationships/hyperlink" Target="https://hr.wharton.upenn.edu/records-retention/" TargetMode="External"/><Relationship Id="rId26" Type="http://schemas.openxmlformats.org/officeDocument/2006/relationships/hyperlink" Target="https://www.hr.upenn.edu/myhr/resources/policy/compensation/overtime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r.upenn.edu/myhr/resources/policy/timeoff/pto" TargetMode="External"/><Relationship Id="rId34" Type="http://schemas.openxmlformats.org/officeDocument/2006/relationships/hyperlink" Target="https://www.hr.upenn.edu/myhr/resources/policy/performance/introductor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r.upenn.edu/myhr/resources/policy/recruitment/posting-of-position-openings" TargetMode="External"/><Relationship Id="rId17" Type="http://schemas.openxmlformats.org/officeDocument/2006/relationships/hyperlink" Target="https://www.hr.upenn.edu/myhr/resources/policy/other/confidentialityofrecords" TargetMode="External"/><Relationship Id="rId25" Type="http://schemas.openxmlformats.org/officeDocument/2006/relationships/hyperlink" Target="https://www.hr.upenn.edu/myhr/resources/policy/compensation/pay-practices" TargetMode="External"/><Relationship Id="rId33" Type="http://schemas.openxmlformats.org/officeDocument/2006/relationships/hyperlink" Target="https://www.hr.upenn.edu/myhr/resources/policy/recruitment/equal-opportunity-and-affirmative-action" TargetMode="External"/><Relationship Id="rId38" Type="http://schemas.openxmlformats.org/officeDocument/2006/relationships/hyperlink" Target="https://hr.wharton.upenn.edu/professional-developme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penn.edu/affirm-action/docs/online_AACF.pdf" TargetMode="External"/><Relationship Id="rId20" Type="http://schemas.openxmlformats.org/officeDocument/2006/relationships/hyperlink" Target="https://www.hr.upenn.edu/myhr/resources/policy/timeoff/attendance" TargetMode="External"/><Relationship Id="rId29" Type="http://schemas.openxmlformats.org/officeDocument/2006/relationships/hyperlink" Target="https://hr.wharton.upenn.edu/access-privileges-for-temporary-employe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.upenn.edu/myhr/resources/policy/recruitment/employment-advertising" TargetMode="External"/><Relationship Id="rId24" Type="http://schemas.openxmlformats.org/officeDocument/2006/relationships/hyperlink" Target="https://www.hr.upenn.edu/myhr/resources/policy/timeoff/fmla" TargetMode="External"/><Relationship Id="rId32" Type="http://schemas.openxmlformats.org/officeDocument/2006/relationships/hyperlink" Target="https://www.hr.upenn.edu/myhr/resources/policy/performance/performance-improvement-discipline" TargetMode="External"/><Relationship Id="rId37" Type="http://schemas.openxmlformats.org/officeDocument/2006/relationships/hyperlink" Target="https://www.hr.upenn.edu/myhr/resources/policy/performance/performance-and-staff-development-program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hr.upenn.edu/myhr/resources/policy/recruitment/equal-opportunity-and-affirmative-action" TargetMode="External"/><Relationship Id="rId23" Type="http://schemas.openxmlformats.org/officeDocument/2006/relationships/hyperlink" Target="https://www.hr.upenn.edu/myhr/resources/policy/timeoff/transferred" TargetMode="External"/><Relationship Id="rId28" Type="http://schemas.openxmlformats.org/officeDocument/2006/relationships/hyperlink" Target="https://www.hr.upenn.edu/myhr/resources/policy/recruitment/temporary-extra-persons" TargetMode="External"/><Relationship Id="rId36" Type="http://schemas.openxmlformats.org/officeDocument/2006/relationships/hyperlink" Target="https://hr.wharton.upenn.edu/form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s://www.hr.upenn.edu/myhr/resources/policy/other/confidentialityofrecor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r.wharton.upenn.edu/employment/" TargetMode="External"/><Relationship Id="rId22" Type="http://schemas.openxmlformats.org/officeDocument/2006/relationships/hyperlink" Target="https://www.hr.upenn.edu/myhr/resources/policy/timeoff/sick" TargetMode="External"/><Relationship Id="rId27" Type="http://schemas.openxmlformats.org/officeDocument/2006/relationships/hyperlink" Target="https://hr.wharton.upenn.edu/flex-time/" TargetMode="External"/><Relationship Id="rId30" Type="http://schemas.openxmlformats.org/officeDocument/2006/relationships/hyperlink" Target="https://www.hr.upenn.edu/myhr/workplaceissues" TargetMode="External"/><Relationship Id="rId35" Type="http://schemas.openxmlformats.org/officeDocument/2006/relationships/hyperlink" Target="https://www.hr.upenn.edu/myhr/resources/policy/performance/performance-and-staff-development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9A0FF4BF62645A23B830E6340BCDE" ma:contentTypeVersion="1" ma:contentTypeDescription="Create a new document." ma:contentTypeScope="" ma:versionID="a7c535621920cbb66f9555049a0c21f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19d7ba57aa128fd135391ae50d4f18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7D1D-44DE-4330-A482-FB7382A84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6A74B-F8CD-43F4-850A-54552A4A227B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0C120B-DE75-4803-BDEE-1A53BF11B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9B02A7D-ED0C-4CB4-BAF5-BC971BBE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5191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Petty Cash Audit:  Self Assessment for Schools &amp; Centers</vt:lpstr>
    </vt:vector>
  </TitlesOfParts>
  <Company>The Wharton School</Company>
  <LinksUpToDate>false</LinksUpToDate>
  <CharactersWithSpaces>5625</CharactersWithSpaces>
  <SharedDoc>false</SharedDoc>
  <HLinks>
    <vt:vector size="60" baseType="variant">
      <vt:variant>
        <vt:i4>3342438</vt:i4>
      </vt:variant>
      <vt:variant>
        <vt:i4>27</vt:i4>
      </vt:variant>
      <vt:variant>
        <vt:i4>0</vt:i4>
      </vt:variant>
      <vt:variant>
        <vt:i4>5</vt:i4>
      </vt:variant>
      <vt:variant>
        <vt:lpwstr>http://www.hr.upenn.edu/policy/policies/621.asp</vt:lpwstr>
      </vt:variant>
      <vt:variant>
        <vt:lpwstr/>
      </vt:variant>
      <vt:variant>
        <vt:i4>3014707</vt:i4>
      </vt:variant>
      <vt:variant>
        <vt:i4>24</vt:i4>
      </vt:variant>
      <vt:variant>
        <vt:i4>0</vt:i4>
      </vt:variant>
      <vt:variant>
        <vt:i4>5</vt:i4>
      </vt:variant>
      <vt:variant>
        <vt:lpwstr>http://www.knowledgelink.upenn.edu/</vt:lpwstr>
      </vt:variant>
      <vt:variant>
        <vt:lpwstr/>
      </vt:variant>
      <vt:variant>
        <vt:i4>6815787</vt:i4>
      </vt:variant>
      <vt:variant>
        <vt:i4>21</vt:i4>
      </vt:variant>
      <vt:variant>
        <vt:i4>0</vt:i4>
      </vt:variant>
      <vt:variant>
        <vt:i4>5</vt:i4>
      </vt:variant>
      <vt:variant>
        <vt:lpwstr>http://www.hr.upenn.edu/policy/Timeoff.aspx</vt:lpwstr>
      </vt:variant>
      <vt:variant>
        <vt:lpwstr/>
      </vt:variant>
      <vt:variant>
        <vt:i4>7405628</vt:i4>
      </vt:variant>
      <vt:variant>
        <vt:i4>18</vt:i4>
      </vt:variant>
      <vt:variant>
        <vt:i4>0</vt:i4>
      </vt:variant>
      <vt:variant>
        <vt:i4>5</vt:i4>
      </vt:variant>
      <vt:variant>
        <vt:lpwstr>http://www.hr.upenn.edu/policy/Termination.aspx</vt:lpwstr>
      </vt:variant>
      <vt:variant>
        <vt:lpwstr/>
      </vt:variant>
      <vt:variant>
        <vt:i4>7929916</vt:i4>
      </vt:variant>
      <vt:variant>
        <vt:i4>15</vt:i4>
      </vt:variant>
      <vt:variant>
        <vt:i4>0</vt:i4>
      </vt:variant>
      <vt:variant>
        <vt:i4>5</vt:i4>
      </vt:variant>
      <vt:variant>
        <vt:lpwstr>http://www.hr.upenn.edu/policy/Recruitment.aspx</vt:lpwstr>
      </vt:variant>
      <vt:variant>
        <vt:lpwstr/>
      </vt:variant>
      <vt:variant>
        <vt:i4>7536690</vt:i4>
      </vt:variant>
      <vt:variant>
        <vt:i4>12</vt:i4>
      </vt:variant>
      <vt:variant>
        <vt:i4>0</vt:i4>
      </vt:variant>
      <vt:variant>
        <vt:i4>5</vt:i4>
      </vt:variant>
      <vt:variant>
        <vt:lpwstr>http://www.hr.upenn.edu/policy/Performance.aspx</vt:lpwstr>
      </vt:variant>
      <vt:variant>
        <vt:lpwstr/>
      </vt:variant>
      <vt:variant>
        <vt:i4>6815791</vt:i4>
      </vt:variant>
      <vt:variant>
        <vt:i4>9</vt:i4>
      </vt:variant>
      <vt:variant>
        <vt:i4>0</vt:i4>
      </vt:variant>
      <vt:variant>
        <vt:i4>5</vt:i4>
      </vt:variant>
      <vt:variant>
        <vt:lpwstr>http://www.hr.upenn.edu/policy/Records.aspx</vt:lpwstr>
      </vt:variant>
      <vt:variant>
        <vt:lpwstr/>
      </vt:variant>
      <vt:variant>
        <vt:i4>5177370</vt:i4>
      </vt:variant>
      <vt:variant>
        <vt:i4>6</vt:i4>
      </vt:variant>
      <vt:variant>
        <vt:i4>0</vt:i4>
      </vt:variant>
      <vt:variant>
        <vt:i4>5</vt:i4>
      </vt:variant>
      <vt:variant>
        <vt:lpwstr>http://www.hr.upenn.edu/policy/Compensation.aspx</vt:lpwstr>
      </vt:variant>
      <vt:variant>
        <vt:lpwstr/>
      </vt:variant>
      <vt:variant>
        <vt:i4>3014707</vt:i4>
      </vt:variant>
      <vt:variant>
        <vt:i4>3</vt:i4>
      </vt:variant>
      <vt:variant>
        <vt:i4>0</vt:i4>
      </vt:variant>
      <vt:variant>
        <vt:i4>5</vt:i4>
      </vt:variant>
      <vt:variant>
        <vt:lpwstr>http://www.knowledgelink.upenn.edu/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http://www.finance.upenn.edu/vpfinance/fpm/2400/2401.asp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Petty Cash Audit:  Self Assessment for Schools &amp; Centers</dc:title>
  <dc:creator>blackp</dc:creator>
  <cp:lastModifiedBy>Taylor, Eric</cp:lastModifiedBy>
  <cp:revision>2</cp:revision>
  <cp:lastPrinted>2016-06-22T16:29:00Z</cp:lastPrinted>
  <dcterms:created xsi:type="dcterms:W3CDTF">2016-06-22T18:50:00Z</dcterms:created>
  <dcterms:modified xsi:type="dcterms:W3CDTF">2016-06-22T18:50:00Z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0x0101001F59A0FF4BF62645A23B830E6340BCDE</vt:lpwstr>
  </property>
</Properties>
</file>